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BEF8B" w14:textId="77777777" w:rsidR="00C80680" w:rsidRPr="00A45CCF" w:rsidRDefault="00C80680" w:rsidP="00C80680">
      <w:pPr>
        <w:rPr>
          <w:b/>
          <w:sz w:val="28"/>
          <w:szCs w:val="28"/>
        </w:rPr>
      </w:pPr>
      <w:bookmarkStart w:id="0" w:name="_Hlk16515267"/>
      <w:bookmarkEnd w:id="0"/>
      <w:r>
        <w:rPr>
          <w:b/>
          <w:sz w:val="28"/>
          <w:szCs w:val="28"/>
        </w:rPr>
        <w:t>Coping with medically unexplained physical symptoms: The role of illness beliefs and behaviors</w:t>
      </w:r>
    </w:p>
    <w:p w14:paraId="77E17F16" w14:textId="77777777" w:rsidR="00C80680" w:rsidRPr="00D02983" w:rsidRDefault="00C80680" w:rsidP="00C80680">
      <w:pPr>
        <w:rPr>
          <w:sz w:val="28"/>
          <w:szCs w:val="28"/>
        </w:rPr>
      </w:pPr>
      <w:r w:rsidRPr="00A45CCF">
        <w:rPr>
          <w:sz w:val="28"/>
          <w:szCs w:val="28"/>
        </w:rPr>
        <w:t>Nicole</w:t>
      </w:r>
      <w:r>
        <w:rPr>
          <w:sz w:val="28"/>
          <w:szCs w:val="28"/>
        </w:rPr>
        <w:t xml:space="preserve"> Sullivan Ph.D.</w:t>
      </w:r>
      <w:r w:rsidRPr="00A45CCF">
        <w:rPr>
          <w:sz w:val="28"/>
          <w:szCs w:val="28"/>
          <w:vertAlign w:val="superscript"/>
        </w:rPr>
        <w:t>1</w:t>
      </w:r>
      <w:r>
        <w:rPr>
          <w:sz w:val="28"/>
          <w:szCs w:val="28"/>
          <w:vertAlign w:val="superscript"/>
        </w:rPr>
        <w:t>*</w:t>
      </w:r>
      <w:r>
        <w:rPr>
          <w:sz w:val="28"/>
          <w:szCs w:val="28"/>
        </w:rPr>
        <w:t xml:space="preserve">, L. Alison </w:t>
      </w:r>
      <w:r w:rsidRPr="00A45CCF">
        <w:rPr>
          <w:sz w:val="28"/>
          <w:szCs w:val="28"/>
        </w:rPr>
        <w:t>Phillips</w:t>
      </w:r>
      <w:r>
        <w:rPr>
          <w:sz w:val="28"/>
          <w:szCs w:val="28"/>
        </w:rPr>
        <w:t xml:space="preserve"> Ph.D.</w:t>
      </w:r>
      <w:r w:rsidRPr="002D21F2">
        <w:rPr>
          <w:sz w:val="28"/>
          <w:szCs w:val="28"/>
          <w:vertAlign w:val="superscript"/>
        </w:rPr>
        <w:t>2</w:t>
      </w:r>
      <w:r w:rsidRPr="00A45CCF">
        <w:rPr>
          <w:sz w:val="28"/>
          <w:szCs w:val="28"/>
        </w:rPr>
        <w:t>, </w:t>
      </w:r>
      <w:r>
        <w:rPr>
          <w:sz w:val="28"/>
          <w:szCs w:val="28"/>
        </w:rPr>
        <w:t xml:space="preserve">Wilfred R. </w:t>
      </w:r>
      <w:r w:rsidRPr="00A45CCF">
        <w:rPr>
          <w:sz w:val="28"/>
          <w:szCs w:val="28"/>
        </w:rPr>
        <w:t>Pigeon</w:t>
      </w:r>
      <w:r>
        <w:rPr>
          <w:sz w:val="28"/>
          <w:szCs w:val="28"/>
        </w:rPr>
        <w:t xml:space="preserve"> Ph.D.</w:t>
      </w:r>
      <w:r w:rsidRPr="00A45CCF">
        <w:rPr>
          <w:sz w:val="28"/>
          <w:szCs w:val="28"/>
          <w:vertAlign w:val="superscript"/>
        </w:rPr>
        <w:t>3</w:t>
      </w:r>
      <w:r w:rsidRPr="00A45CCF">
        <w:rPr>
          <w:sz w:val="28"/>
          <w:szCs w:val="28"/>
        </w:rPr>
        <w:t>, </w:t>
      </w:r>
      <w:r>
        <w:rPr>
          <w:sz w:val="28"/>
          <w:szCs w:val="28"/>
        </w:rPr>
        <w:t xml:space="preserve">Karen S. </w:t>
      </w:r>
      <w:r w:rsidRPr="00A45CCF">
        <w:rPr>
          <w:sz w:val="28"/>
          <w:szCs w:val="28"/>
        </w:rPr>
        <w:t>Quigley</w:t>
      </w:r>
      <w:r>
        <w:rPr>
          <w:sz w:val="28"/>
          <w:szCs w:val="28"/>
        </w:rPr>
        <w:t xml:space="preserve"> Ph.D.</w:t>
      </w:r>
      <w:r w:rsidRPr="00A45CCF">
        <w:rPr>
          <w:sz w:val="28"/>
          <w:szCs w:val="28"/>
          <w:vertAlign w:val="superscript"/>
        </w:rPr>
        <w:t>4,5</w:t>
      </w:r>
      <w:r w:rsidRPr="00A45CCF">
        <w:rPr>
          <w:sz w:val="28"/>
          <w:szCs w:val="28"/>
        </w:rPr>
        <w:t>, Fiona</w:t>
      </w:r>
      <w:r>
        <w:rPr>
          <w:sz w:val="28"/>
          <w:szCs w:val="28"/>
        </w:rPr>
        <w:t xml:space="preserve"> Graff Psy.D.</w:t>
      </w:r>
      <w:r w:rsidRPr="00A45CCF">
        <w:rPr>
          <w:sz w:val="28"/>
          <w:szCs w:val="28"/>
          <w:vertAlign w:val="superscript"/>
        </w:rPr>
        <w:t>1</w:t>
      </w:r>
      <w:r w:rsidRPr="00A45CCF">
        <w:rPr>
          <w:sz w:val="28"/>
          <w:szCs w:val="28"/>
        </w:rPr>
        <w:t>, David</w:t>
      </w:r>
      <w:r>
        <w:rPr>
          <w:sz w:val="28"/>
          <w:szCs w:val="28"/>
        </w:rPr>
        <w:t xml:space="preserve"> R. Litke Ph.D.</w:t>
      </w:r>
      <w:r w:rsidRPr="00A45CCF">
        <w:rPr>
          <w:sz w:val="28"/>
          <w:szCs w:val="28"/>
          <w:vertAlign w:val="superscript"/>
        </w:rPr>
        <w:t>1,6</w:t>
      </w:r>
      <w:r w:rsidRPr="00A45CCF">
        <w:rPr>
          <w:sz w:val="28"/>
          <w:szCs w:val="28"/>
        </w:rPr>
        <w:t xml:space="preserve">, </w:t>
      </w:r>
      <w:r>
        <w:rPr>
          <w:sz w:val="28"/>
          <w:szCs w:val="28"/>
        </w:rPr>
        <w:t xml:space="preserve">Drew A. </w:t>
      </w:r>
      <w:r w:rsidRPr="00A45CCF">
        <w:rPr>
          <w:sz w:val="28"/>
          <w:szCs w:val="28"/>
        </w:rPr>
        <w:t>Helmer</w:t>
      </w:r>
      <w:r>
        <w:rPr>
          <w:sz w:val="28"/>
          <w:szCs w:val="28"/>
        </w:rPr>
        <w:t xml:space="preserve"> M.D.</w:t>
      </w:r>
      <w:r w:rsidRPr="00A45CCF">
        <w:rPr>
          <w:sz w:val="28"/>
          <w:szCs w:val="28"/>
          <w:vertAlign w:val="superscript"/>
        </w:rPr>
        <w:t>1</w:t>
      </w:r>
      <w:r w:rsidRPr="00A45CCF">
        <w:rPr>
          <w:sz w:val="28"/>
          <w:szCs w:val="28"/>
        </w:rPr>
        <w:t xml:space="preserve">, </w:t>
      </w:r>
      <w:r>
        <w:rPr>
          <w:sz w:val="28"/>
          <w:szCs w:val="28"/>
        </w:rPr>
        <w:t xml:space="preserve">Joseph F. </w:t>
      </w:r>
      <w:r w:rsidRPr="00A45CCF">
        <w:rPr>
          <w:sz w:val="28"/>
          <w:szCs w:val="28"/>
        </w:rPr>
        <w:t>Rath</w:t>
      </w:r>
      <w:r>
        <w:rPr>
          <w:sz w:val="28"/>
          <w:szCs w:val="28"/>
        </w:rPr>
        <w:t xml:space="preserve"> Ph.D.</w:t>
      </w:r>
      <w:r w:rsidRPr="00B93E68">
        <w:rPr>
          <w:sz w:val="28"/>
          <w:szCs w:val="28"/>
          <w:vertAlign w:val="superscript"/>
        </w:rPr>
        <w:t>7</w:t>
      </w:r>
      <w:r w:rsidRPr="00A45CCF">
        <w:rPr>
          <w:sz w:val="28"/>
          <w:szCs w:val="28"/>
        </w:rPr>
        <w:t xml:space="preserve">, </w:t>
      </w:r>
      <w:r>
        <w:rPr>
          <w:sz w:val="28"/>
          <w:szCs w:val="28"/>
        </w:rPr>
        <w:t xml:space="preserve">Lisa M. </w:t>
      </w:r>
      <w:r w:rsidRPr="00A45CCF">
        <w:rPr>
          <w:sz w:val="28"/>
          <w:szCs w:val="28"/>
        </w:rPr>
        <w:t>McAndrew</w:t>
      </w:r>
      <w:r>
        <w:rPr>
          <w:sz w:val="28"/>
          <w:szCs w:val="28"/>
        </w:rPr>
        <w:t xml:space="preserve"> Ph.D.</w:t>
      </w:r>
      <w:r>
        <w:rPr>
          <w:sz w:val="28"/>
          <w:szCs w:val="28"/>
          <w:vertAlign w:val="superscript"/>
        </w:rPr>
        <w:t>1,8</w:t>
      </w:r>
    </w:p>
    <w:p w14:paraId="78369E9C" w14:textId="77777777" w:rsidR="00C80680" w:rsidRDefault="00C80680" w:rsidP="00C80680"/>
    <w:p w14:paraId="20D555CC" w14:textId="485822AA" w:rsidR="00C80680" w:rsidRPr="00A45CCF" w:rsidRDefault="00C80680" w:rsidP="00C80680">
      <w:r>
        <w:t>*Corresponding author:</w:t>
      </w:r>
      <w:r w:rsidRPr="00A45CCF">
        <w:t xml:space="preserve"> </w:t>
      </w:r>
    </w:p>
    <w:p w14:paraId="33492EAE" w14:textId="77777777" w:rsidR="00C80680" w:rsidRDefault="00C80680" w:rsidP="00C80680">
      <w:r w:rsidRPr="00A45CCF">
        <w:t>Nicole Sullivan, PhD</w:t>
      </w:r>
    </w:p>
    <w:p w14:paraId="19908C33" w14:textId="77777777" w:rsidR="00C80680" w:rsidRPr="00DF4333" w:rsidRDefault="007C4DC5" w:rsidP="00C80680">
      <w:hyperlink r:id="rId8" w:history="1">
        <w:r w:rsidR="00C80680" w:rsidRPr="00DF4333">
          <w:rPr>
            <w:rStyle w:val="Hyperlink"/>
          </w:rPr>
          <w:t>Nicole.Sullivan4@va.gov</w:t>
        </w:r>
      </w:hyperlink>
    </w:p>
    <w:p w14:paraId="595F42D6" w14:textId="7B21521D" w:rsidR="00C80680" w:rsidRPr="00A45CCF" w:rsidRDefault="00C80680" w:rsidP="00C80680">
      <w:r>
        <w:t>973-676-1000, ext. 1177</w:t>
      </w:r>
    </w:p>
    <w:p w14:paraId="3694026E" w14:textId="77777777" w:rsidR="00C80680" w:rsidRDefault="00C80680" w:rsidP="00C80680">
      <w:r>
        <w:t xml:space="preserve">Mailing address: </w:t>
      </w:r>
      <w:r w:rsidRPr="00AB58DE">
        <w:t>War Related Illness and Injury Study Center, Veterans Affairs New Jersey Health Care System, 385 Tremont Avenue, East Orange, NJ 07018, USA</w:t>
      </w:r>
    </w:p>
    <w:p w14:paraId="672E0502" w14:textId="77777777" w:rsidR="00C80680" w:rsidRPr="00A45CCF" w:rsidRDefault="00C80680" w:rsidP="00C80680">
      <w:r>
        <w:t>ORCID:</w:t>
      </w:r>
      <w:r w:rsidRPr="00D0004A">
        <w:t xml:space="preserve"> 0000-0003-3672-7431</w:t>
      </w:r>
    </w:p>
    <w:p w14:paraId="6B830FC4" w14:textId="77777777" w:rsidR="00C80680" w:rsidRDefault="00C80680" w:rsidP="00C80680">
      <w:r>
        <w:t xml:space="preserve"> </w:t>
      </w:r>
    </w:p>
    <w:p w14:paraId="1E00BD94" w14:textId="77777777" w:rsidR="00C80680" w:rsidRDefault="00C80680" w:rsidP="00C80680">
      <w:pPr>
        <w:pStyle w:val="ListParagraph"/>
        <w:numPr>
          <w:ilvl w:val="0"/>
          <w:numId w:val="3"/>
        </w:numPr>
        <w:spacing w:after="160" w:line="259" w:lineRule="auto"/>
      </w:pPr>
      <w:r>
        <w:t>War Related Illness and Injury Study Center, Veterans Affairs New Jersey Health Care System, 385 Tremont Avenue, East Orange, NJ 07018, USA</w:t>
      </w:r>
    </w:p>
    <w:p w14:paraId="1D75957C" w14:textId="77777777" w:rsidR="00C80680" w:rsidRDefault="00C80680" w:rsidP="00C80680">
      <w:pPr>
        <w:pStyle w:val="ListParagraph"/>
        <w:numPr>
          <w:ilvl w:val="0"/>
          <w:numId w:val="3"/>
        </w:numPr>
        <w:spacing w:after="160" w:line="259" w:lineRule="auto"/>
      </w:pPr>
      <w:r>
        <w:t>Department of Psychology, Iowa State University, Ames, IA, USA</w:t>
      </w:r>
    </w:p>
    <w:p w14:paraId="42F46ACC" w14:textId="77777777" w:rsidR="00C80680" w:rsidRDefault="00C80680" w:rsidP="00C80680">
      <w:pPr>
        <w:pStyle w:val="ListParagraph"/>
        <w:numPr>
          <w:ilvl w:val="0"/>
          <w:numId w:val="3"/>
        </w:numPr>
        <w:spacing w:after="160" w:line="259" w:lineRule="auto"/>
      </w:pPr>
      <w:r>
        <w:t>Center of Excellence for Suicide Prevention, Canandaigua VA Medical Center, Canandaigua, NY, USA</w:t>
      </w:r>
    </w:p>
    <w:p w14:paraId="35B1E927" w14:textId="77777777" w:rsidR="00C80680" w:rsidRDefault="00C80680" w:rsidP="00C80680">
      <w:pPr>
        <w:pStyle w:val="ListParagraph"/>
        <w:numPr>
          <w:ilvl w:val="0"/>
          <w:numId w:val="3"/>
        </w:numPr>
        <w:spacing w:after="160" w:line="259" w:lineRule="auto"/>
      </w:pPr>
      <w:r w:rsidRPr="00A45CCF">
        <w:t xml:space="preserve">Edith </w:t>
      </w:r>
      <w:proofErr w:type="spellStart"/>
      <w:r w:rsidRPr="00A45CCF">
        <w:t>Nourse</w:t>
      </w:r>
      <w:proofErr w:type="spellEnd"/>
      <w:r w:rsidRPr="00A45CCF">
        <w:t xml:space="preserve"> Rogers Memorial VA Hospital, Bedford 01730, MA, USA</w:t>
      </w:r>
    </w:p>
    <w:p w14:paraId="054A5D3B" w14:textId="77777777" w:rsidR="00C80680" w:rsidRDefault="00C80680" w:rsidP="00C80680">
      <w:pPr>
        <w:pStyle w:val="ListParagraph"/>
        <w:numPr>
          <w:ilvl w:val="0"/>
          <w:numId w:val="3"/>
        </w:numPr>
        <w:spacing w:after="160" w:line="259" w:lineRule="auto"/>
      </w:pPr>
      <w:r w:rsidRPr="00A45CCF">
        <w:t>Department of Psychology, Northeastern Un</w:t>
      </w:r>
      <w:r>
        <w:t>iversity, Boston 02115, MA, USA</w:t>
      </w:r>
    </w:p>
    <w:p w14:paraId="10E74EAB" w14:textId="77777777" w:rsidR="00C80680" w:rsidRDefault="00C80680" w:rsidP="00C80680">
      <w:pPr>
        <w:pStyle w:val="ListParagraph"/>
        <w:numPr>
          <w:ilvl w:val="0"/>
          <w:numId w:val="3"/>
        </w:numPr>
        <w:spacing w:after="160" w:line="259" w:lineRule="auto"/>
      </w:pPr>
      <w:r>
        <w:t>Department of Rehabilitation Medicine, New York University School of Medicine, New York, NY, USA.</w:t>
      </w:r>
    </w:p>
    <w:p w14:paraId="14C1AC5F" w14:textId="77777777" w:rsidR="00C80680" w:rsidRDefault="00C80680" w:rsidP="00C80680">
      <w:pPr>
        <w:pStyle w:val="ListParagraph"/>
        <w:numPr>
          <w:ilvl w:val="0"/>
          <w:numId w:val="3"/>
        </w:numPr>
        <w:spacing w:after="160" w:line="259" w:lineRule="auto"/>
      </w:pPr>
      <w:r>
        <w:t>Rusk Institute of Rehabilitation Medicine, New York University Langone Medical Center, New York, NY, USA</w:t>
      </w:r>
    </w:p>
    <w:p w14:paraId="64FE7F78" w14:textId="77777777" w:rsidR="00C80680" w:rsidRPr="00D67A95" w:rsidRDefault="00C80680" w:rsidP="00C80680">
      <w:pPr>
        <w:pStyle w:val="ListParagraph"/>
        <w:numPr>
          <w:ilvl w:val="0"/>
          <w:numId w:val="3"/>
        </w:numPr>
        <w:spacing w:after="160" w:line="259" w:lineRule="auto"/>
      </w:pPr>
      <w:r>
        <w:t xml:space="preserve">Department of Educational and Counseling Psychology, University at Albany, 1400 Washington Ave Ext, Albany, NY </w:t>
      </w:r>
      <w:r w:rsidRPr="00AB58DE">
        <w:t>12222, USA</w:t>
      </w:r>
    </w:p>
    <w:p w14:paraId="126CF8F6" w14:textId="77777777" w:rsidR="00C80680" w:rsidRPr="004564F0" w:rsidRDefault="00C80680" w:rsidP="00C80680">
      <w:pPr>
        <w:rPr>
          <w:b/>
        </w:rPr>
      </w:pPr>
      <w:r w:rsidRPr="004564F0">
        <w:rPr>
          <w:b/>
        </w:rPr>
        <w:t>Declaration of Conflict of Interest</w:t>
      </w:r>
    </w:p>
    <w:p w14:paraId="7997AB16" w14:textId="77777777" w:rsidR="00C80680" w:rsidRPr="004564F0" w:rsidRDefault="00C80680" w:rsidP="00C80680">
      <w:pPr>
        <w:rPr>
          <w:i/>
          <w:color w:val="000000"/>
        </w:rPr>
      </w:pPr>
      <w:r w:rsidRPr="004564F0">
        <w:rPr>
          <w:i/>
        </w:rPr>
        <w:t>The Authors declare that there is no conflict of interest.</w:t>
      </w:r>
    </w:p>
    <w:p w14:paraId="4A8B7443" w14:textId="77777777" w:rsidR="00C80680" w:rsidRDefault="00C80680" w:rsidP="00C80680">
      <w:pPr>
        <w:rPr>
          <w:b/>
        </w:rPr>
      </w:pPr>
    </w:p>
    <w:p w14:paraId="62F7FF30" w14:textId="77777777" w:rsidR="00C80680" w:rsidRPr="004564F0" w:rsidRDefault="00C80680" w:rsidP="00C80680">
      <w:pPr>
        <w:rPr>
          <w:b/>
        </w:rPr>
      </w:pPr>
      <w:r w:rsidRPr="004564F0">
        <w:rPr>
          <w:b/>
        </w:rPr>
        <w:t>Acknowledgements</w:t>
      </w:r>
    </w:p>
    <w:p w14:paraId="5F05ADE6" w14:textId="77777777" w:rsidR="00C80680" w:rsidRDefault="00C80680" w:rsidP="00C80680">
      <w:pPr>
        <w:rPr>
          <w:i/>
          <w:iCs/>
        </w:rPr>
      </w:pPr>
      <w:r w:rsidRPr="004564F0">
        <w:rPr>
          <w:i/>
          <w:iCs/>
        </w:rPr>
        <w:t>The views expressed in this article are those of the authors and do not necessarily reflect the position or policy of the Department of Veterans Affairs or the United States government.</w:t>
      </w:r>
    </w:p>
    <w:p w14:paraId="77ED4C1C" w14:textId="77777777" w:rsidR="00C80680" w:rsidRDefault="00C80680" w:rsidP="00C80680">
      <w:pPr>
        <w:pStyle w:val="Default"/>
        <w:rPr>
          <w:b/>
          <w:iCs/>
          <w:color w:val="auto"/>
        </w:rPr>
      </w:pPr>
    </w:p>
    <w:p w14:paraId="658DBC2A" w14:textId="77777777" w:rsidR="00C80680" w:rsidRPr="00802A28" w:rsidRDefault="00C80680" w:rsidP="00C80680">
      <w:pPr>
        <w:pStyle w:val="Default"/>
        <w:rPr>
          <w:b/>
          <w:iCs/>
          <w:color w:val="auto"/>
        </w:rPr>
      </w:pPr>
      <w:r w:rsidRPr="00802A28">
        <w:rPr>
          <w:b/>
          <w:iCs/>
          <w:color w:val="auto"/>
        </w:rPr>
        <w:t xml:space="preserve">Funding </w:t>
      </w:r>
    </w:p>
    <w:p w14:paraId="097889FA" w14:textId="77777777" w:rsidR="00C80680" w:rsidRPr="00DF4333" w:rsidRDefault="00C80680" w:rsidP="00C80680">
      <w:pPr>
        <w:pStyle w:val="Default"/>
        <w:rPr>
          <w:i/>
          <w:iCs/>
        </w:rPr>
      </w:pPr>
      <w:r>
        <w:rPr>
          <w:i/>
          <w:iCs/>
          <w:color w:val="auto"/>
        </w:rPr>
        <w:t>This work was supported by Merit Review Award #I01CX001053 from the United States (U.S.) Department of Veterans Affairs Clinical Sciences Research and Development; and a Career Development Award # IK2HX</w:t>
      </w:r>
      <w:proofErr w:type="gramStart"/>
      <w:r>
        <w:rPr>
          <w:i/>
          <w:iCs/>
          <w:color w:val="auto"/>
        </w:rPr>
        <w:t>001369  from</w:t>
      </w:r>
      <w:proofErr w:type="gramEnd"/>
      <w:r>
        <w:rPr>
          <w:i/>
          <w:iCs/>
          <w:color w:val="auto"/>
        </w:rPr>
        <w:t xml:space="preserve"> VA Health Services Research and Development Program. It was also supported by the VA NJ War Related Illness and Injury Study Center and VA Office of Academic Affiliation. </w:t>
      </w:r>
      <w:r w:rsidRPr="005D7449">
        <w:rPr>
          <w:i/>
          <w:iCs/>
        </w:rPr>
        <w:t>ClinicalTrials.gov Identifier: NCT02161133</w:t>
      </w:r>
    </w:p>
    <w:p w14:paraId="4DC804EA" w14:textId="4875FC7B" w:rsidR="00C54C96" w:rsidRDefault="00C54C96" w:rsidP="00C54C96">
      <w:pPr>
        <w:jc w:val="center"/>
        <w:rPr>
          <w:b/>
          <w:sz w:val="28"/>
          <w:szCs w:val="28"/>
        </w:rPr>
      </w:pPr>
    </w:p>
    <w:p w14:paraId="7163E17C" w14:textId="1FCE33FB" w:rsidR="00C80680" w:rsidRDefault="00C80680" w:rsidP="00C54C96">
      <w:pPr>
        <w:jc w:val="center"/>
        <w:rPr>
          <w:b/>
          <w:sz w:val="28"/>
          <w:szCs w:val="28"/>
        </w:rPr>
      </w:pPr>
    </w:p>
    <w:p w14:paraId="44ACE73F" w14:textId="3830252B" w:rsidR="00C80680" w:rsidRDefault="00C80680" w:rsidP="00C54C96">
      <w:pPr>
        <w:jc w:val="center"/>
        <w:rPr>
          <w:b/>
          <w:sz w:val="28"/>
          <w:szCs w:val="28"/>
        </w:rPr>
      </w:pPr>
    </w:p>
    <w:p w14:paraId="2A0EAED3" w14:textId="1055A414" w:rsidR="00C80680" w:rsidRDefault="00C80680" w:rsidP="00C54C96">
      <w:pPr>
        <w:jc w:val="center"/>
        <w:rPr>
          <w:b/>
          <w:sz w:val="28"/>
          <w:szCs w:val="28"/>
        </w:rPr>
      </w:pPr>
    </w:p>
    <w:p w14:paraId="40845B6C" w14:textId="77777777" w:rsidR="00C80680" w:rsidRDefault="00C80680" w:rsidP="00C54C96">
      <w:pPr>
        <w:jc w:val="center"/>
        <w:rPr>
          <w:rFonts w:asciiTheme="minorHAnsi" w:hAnsiTheme="minorHAnsi" w:cstheme="minorHAnsi"/>
          <w:b/>
          <w:sz w:val="22"/>
          <w:szCs w:val="22"/>
        </w:rPr>
      </w:pPr>
    </w:p>
    <w:p w14:paraId="0D71618C" w14:textId="77777777" w:rsidR="00C54C96" w:rsidRPr="00DA484C" w:rsidRDefault="00C54C96" w:rsidP="00C54C96">
      <w:pPr>
        <w:spacing w:after="200" w:line="276" w:lineRule="auto"/>
        <w:jc w:val="center"/>
        <w:rPr>
          <w:rFonts w:asciiTheme="minorHAnsi" w:hAnsiTheme="minorHAnsi" w:cstheme="minorHAnsi"/>
          <w:b/>
          <w:sz w:val="22"/>
          <w:szCs w:val="22"/>
        </w:rPr>
      </w:pPr>
      <w:r w:rsidRPr="00AB670A">
        <w:rPr>
          <w:b/>
        </w:rPr>
        <w:t>Abstract</w:t>
      </w:r>
    </w:p>
    <w:p w14:paraId="51B7F7D9" w14:textId="77777777" w:rsidR="00C54C96" w:rsidRPr="00AB670A" w:rsidRDefault="00C54C96" w:rsidP="00C54C96">
      <w:pPr>
        <w:spacing w:line="480" w:lineRule="auto"/>
      </w:pPr>
      <w:r w:rsidRPr="00AB670A">
        <w:rPr>
          <w:b/>
        </w:rPr>
        <w:t>Background:</w:t>
      </w:r>
      <w:r w:rsidRPr="00AB670A">
        <w:t xml:space="preserve"> Medically unexplained syndromes (MUS) are both prevalent and disabling.  While illness beliefs and behaviors are thought to maintain MUS-related disability, little is known about which specific behavioral responses to MUS are related to disability or the way in which beliefs and behaviors interact to impact functioning.  The purpose of the present study was to examine the relationship between illness beliefs and disability among patients with </w:t>
      </w:r>
      <w:proofErr w:type="gramStart"/>
      <w:r w:rsidRPr="00AB670A">
        <w:t>MUS, and</w:t>
      </w:r>
      <w:proofErr w:type="gramEnd"/>
      <w:r w:rsidRPr="00AB670A">
        <w:t xml:space="preserve"> assess the extent to which behaviors mediate this relationship.  </w:t>
      </w:r>
      <w:r w:rsidRPr="00AB670A">
        <w:rPr>
          <w:b/>
        </w:rPr>
        <w:t>Methods:</w:t>
      </w:r>
      <w:r w:rsidRPr="00AB670A">
        <w:t xml:space="preserve"> The study examined data from the baseline assessment of a multi-site randomized controlled trial (RCT).  Participants were 248 veterans with MUS.  Illness beliefs, behavioral responses to illness, and disability were assessed through self-report questionnaire.  Data were analyzed using mediation analysis.  </w:t>
      </w:r>
      <w:r w:rsidRPr="00AB670A">
        <w:rPr>
          <w:b/>
        </w:rPr>
        <w:t>Results:</w:t>
      </w:r>
      <w:r w:rsidRPr="00AB670A">
        <w:t xml:space="preserve"> Threat-related beliefs predicted greater disability through decreased activity and increased practical support seeking.  Protective beliefs predicted less disability through reductions in all-or-nothing behavior and limiting behavior.  </w:t>
      </w:r>
      <w:r w:rsidRPr="00AB670A">
        <w:rPr>
          <w:b/>
        </w:rPr>
        <w:t>Conclusions:</w:t>
      </w:r>
      <w:r w:rsidRPr="00AB670A">
        <w:t xml:space="preserve"> These outcomes suggest that all-or-nothing behavior, limiting behavior, and practical support seeking are important in the perpetuation of disability among those with MUS.  This has implications for improving MUS treatment by highlighting potential treatment targets.  </w:t>
      </w:r>
    </w:p>
    <w:p w14:paraId="19AC1E52" w14:textId="77777777" w:rsidR="00C54C96" w:rsidRPr="00AB670A" w:rsidRDefault="00C54C96" w:rsidP="00C54C96">
      <w:pPr>
        <w:spacing w:line="480" w:lineRule="auto"/>
      </w:pPr>
      <w:r w:rsidRPr="00AB670A">
        <w:t xml:space="preserve">Keywords: MUS, disability, illness beliefs, illness </w:t>
      </w:r>
      <w:r>
        <w:t>behaviors</w:t>
      </w:r>
    </w:p>
    <w:p w14:paraId="7B13E522" w14:textId="77777777" w:rsidR="00C54C96" w:rsidRDefault="00C54C96" w:rsidP="00C54C96"/>
    <w:p w14:paraId="1AA080DF" w14:textId="77777777" w:rsidR="00C54C96" w:rsidRDefault="00C54C96" w:rsidP="00C54C96">
      <w:pPr>
        <w:spacing w:line="480" w:lineRule="auto"/>
        <w:rPr>
          <w:i/>
          <w:iCs/>
        </w:rPr>
      </w:pPr>
      <w:r w:rsidRPr="005D0263">
        <w:rPr>
          <w:i/>
          <w:iCs/>
        </w:rPr>
        <w:t>ClinicalTrials.gov Identifier: NCT02161133</w:t>
      </w:r>
    </w:p>
    <w:p w14:paraId="3B2C23D2" w14:textId="77777777" w:rsidR="00C54C96" w:rsidRDefault="00C54C96" w:rsidP="00C54C96">
      <w:pPr>
        <w:spacing w:line="480" w:lineRule="auto"/>
      </w:pPr>
    </w:p>
    <w:p w14:paraId="38A1F3F8" w14:textId="77777777" w:rsidR="00C54C96" w:rsidRDefault="00C54C96" w:rsidP="00C54C96">
      <w:pPr>
        <w:spacing w:line="480" w:lineRule="auto"/>
      </w:pPr>
    </w:p>
    <w:p w14:paraId="3C3751B0" w14:textId="77777777" w:rsidR="00C54C96" w:rsidRDefault="00C54C96" w:rsidP="00C54C96">
      <w:pPr>
        <w:spacing w:line="480" w:lineRule="auto"/>
      </w:pPr>
    </w:p>
    <w:p w14:paraId="72111504" w14:textId="77777777" w:rsidR="00C80680" w:rsidRDefault="00C80680">
      <w:pPr>
        <w:spacing w:after="200" w:line="276" w:lineRule="auto"/>
        <w:rPr>
          <w:b/>
        </w:rPr>
      </w:pPr>
      <w:r>
        <w:rPr>
          <w:b/>
        </w:rPr>
        <w:br w:type="page"/>
      </w:r>
    </w:p>
    <w:p w14:paraId="57CB7596" w14:textId="626FB21E" w:rsidR="00C54C96" w:rsidRPr="00C54C96" w:rsidRDefault="00C54C96" w:rsidP="00C54C96">
      <w:pPr>
        <w:spacing w:line="480" w:lineRule="auto"/>
        <w:jc w:val="center"/>
        <w:rPr>
          <w:b/>
        </w:rPr>
      </w:pPr>
      <w:r w:rsidRPr="00C54C96">
        <w:rPr>
          <w:b/>
        </w:rPr>
        <w:lastRenderedPageBreak/>
        <w:t>Introduction</w:t>
      </w:r>
    </w:p>
    <w:p w14:paraId="619633E5" w14:textId="3145A4AE" w:rsidR="00E6381C" w:rsidRPr="00C80680" w:rsidRDefault="00584D03" w:rsidP="00C54C96">
      <w:pPr>
        <w:spacing w:line="480" w:lineRule="auto"/>
        <w:ind w:firstLine="720"/>
      </w:pPr>
      <w:r w:rsidRPr="00C80680">
        <w:t>Persistent “m</w:t>
      </w:r>
      <w:r w:rsidR="00EB40FC" w:rsidRPr="00C80680">
        <w:t>edically unexplained</w:t>
      </w:r>
      <w:r w:rsidRPr="00C80680">
        <w:t>” physical</w:t>
      </w:r>
      <w:r w:rsidR="00EB40FC" w:rsidRPr="00C80680">
        <w:t xml:space="preserve"> symptoms</w:t>
      </w:r>
      <w:r w:rsidR="00F974AB" w:rsidRPr="00C80680">
        <w:t>/syndromes</w:t>
      </w:r>
      <w:r w:rsidR="00EB40FC" w:rsidRPr="00C80680">
        <w:t xml:space="preserve"> (MUS)</w:t>
      </w:r>
      <w:r w:rsidR="00615BF0" w:rsidRPr="00C80680">
        <w:t xml:space="preserve">, such as </w:t>
      </w:r>
      <w:r w:rsidR="001761CF" w:rsidRPr="00C80680">
        <w:t>fibromyalgia and chronic fatigue syndrome</w:t>
      </w:r>
      <w:r w:rsidR="00615BF0" w:rsidRPr="00C80680">
        <w:t xml:space="preserve">, </w:t>
      </w:r>
      <w:r w:rsidR="00EB40FC" w:rsidRPr="00C80680">
        <w:t>are prevalent</w:t>
      </w:r>
      <w:r w:rsidR="001761CF" w:rsidRPr="00C80680">
        <w:t xml:space="preserve"> in primary care, disabling</w:t>
      </w:r>
      <w:r w:rsidR="00EB40FC" w:rsidRPr="00C80680">
        <w:t xml:space="preserve"> </w:t>
      </w:r>
      <w:r w:rsidRPr="00C80680">
        <w:t>and difficult to treat</w:t>
      </w:r>
      <w:r w:rsidR="00E0246F" w:rsidRPr="00C80680">
        <w:t xml:space="preserve"> [1].</w:t>
      </w:r>
      <w:r w:rsidR="00E6364D" w:rsidRPr="00C80680">
        <w:t xml:space="preserve"> </w:t>
      </w:r>
      <w:r w:rsidR="00EB40FC" w:rsidRPr="00C80680">
        <w:t xml:space="preserve">The </w:t>
      </w:r>
      <w:r w:rsidR="00F974AB" w:rsidRPr="00C80680">
        <w:t>significant disability</w:t>
      </w:r>
      <w:r w:rsidR="00EB40FC" w:rsidRPr="00C80680">
        <w:t xml:space="preserve"> coupled with the absence of a </w:t>
      </w:r>
      <w:r w:rsidR="00ED079D" w:rsidRPr="00C80680">
        <w:t>clear</w:t>
      </w:r>
      <w:r w:rsidR="00EB40FC" w:rsidRPr="00C80680">
        <w:t xml:space="preserve"> etiology </w:t>
      </w:r>
      <w:r w:rsidR="00C8009E" w:rsidRPr="00C80680">
        <w:t xml:space="preserve">causes </w:t>
      </w:r>
      <w:r w:rsidR="00EB40FC" w:rsidRPr="00C80680">
        <w:t xml:space="preserve">clinical uncertainty </w:t>
      </w:r>
      <w:r w:rsidR="003555C8" w:rsidRPr="00C80680">
        <w:t xml:space="preserve">about </w:t>
      </w:r>
      <w:r w:rsidR="002C17C7" w:rsidRPr="00C80680">
        <w:t xml:space="preserve">how to best </w:t>
      </w:r>
      <w:r w:rsidR="003E1B67" w:rsidRPr="00C80680">
        <w:t xml:space="preserve">manage </w:t>
      </w:r>
      <w:r w:rsidR="002C17C7" w:rsidRPr="00C80680">
        <w:t>t</w:t>
      </w:r>
      <w:r w:rsidR="00583D70" w:rsidRPr="00C80680">
        <w:t xml:space="preserve">hese conditions. </w:t>
      </w:r>
      <w:r w:rsidR="00C8009E" w:rsidRPr="00C80680">
        <w:t>Clinical practice guidelines recommend cognitive behavioral therapy (CBT)</w:t>
      </w:r>
      <w:r w:rsidR="00854843" w:rsidRPr="00C80680">
        <w:t xml:space="preserve"> which</w:t>
      </w:r>
      <w:r w:rsidR="00266368" w:rsidRPr="00C80680">
        <w:t xml:space="preserve"> </w:t>
      </w:r>
      <w:r w:rsidR="00EB40FC" w:rsidRPr="00C80680">
        <w:t xml:space="preserve">targets </w:t>
      </w:r>
      <w:r w:rsidR="00C8009E" w:rsidRPr="00C80680">
        <w:t xml:space="preserve">the </w:t>
      </w:r>
      <w:r w:rsidR="00EB40FC" w:rsidRPr="00C80680">
        <w:t xml:space="preserve">illness </w:t>
      </w:r>
      <w:r w:rsidR="007F1818" w:rsidRPr="00C80680">
        <w:t>beliefs</w:t>
      </w:r>
      <w:r w:rsidR="00EB40FC" w:rsidRPr="00C80680">
        <w:t xml:space="preserve"> and behaviors</w:t>
      </w:r>
      <w:r w:rsidR="00C8009E" w:rsidRPr="00C80680">
        <w:t xml:space="preserve"> thought to maintain MUS</w:t>
      </w:r>
      <w:r w:rsidR="00E0246F" w:rsidRPr="00C80680">
        <w:t xml:space="preserve"> [2].</w:t>
      </w:r>
      <w:r w:rsidR="00E6364D" w:rsidRPr="00C80680">
        <w:t xml:space="preserve"> While research finds support for CBT</w:t>
      </w:r>
      <w:r w:rsidR="00E0246F" w:rsidRPr="00C80680">
        <w:t xml:space="preserve"> [3-4],</w:t>
      </w:r>
      <w:r w:rsidR="00485461" w:rsidRPr="00C80680">
        <w:t xml:space="preserve"> </w:t>
      </w:r>
      <w:r w:rsidR="00E6364D" w:rsidRPr="00C80680">
        <w:t>there is room for improvement. E</w:t>
      </w:r>
      <w:r w:rsidR="00A306FC" w:rsidRPr="00C80680">
        <w:t>ffect sizes are generally small</w:t>
      </w:r>
      <w:r w:rsidR="008257E3" w:rsidRPr="00C80680">
        <w:t xml:space="preserve"> with relatively high drop-out rates [3]</w:t>
      </w:r>
      <w:r w:rsidR="00726CB9" w:rsidRPr="00C80680">
        <w:t>, and there is</w:t>
      </w:r>
      <w:r w:rsidR="00C6780D" w:rsidRPr="00C80680">
        <w:t xml:space="preserve"> a lack of support for the </w:t>
      </w:r>
      <w:r w:rsidR="00EB40FC" w:rsidRPr="00C80680">
        <w:t>long-term</w:t>
      </w:r>
      <w:r w:rsidR="00C0030D" w:rsidRPr="00C80680">
        <w:t xml:space="preserve"> e</w:t>
      </w:r>
      <w:r w:rsidR="00EB40FC" w:rsidRPr="00C80680">
        <w:t xml:space="preserve">ffects of </w:t>
      </w:r>
      <w:r w:rsidR="00B44859" w:rsidRPr="00C80680">
        <w:t>CBT</w:t>
      </w:r>
      <w:r w:rsidR="00EB40FC" w:rsidRPr="00C80680">
        <w:t xml:space="preserve"> on MUS symptoms </w:t>
      </w:r>
      <w:r w:rsidR="00E0246F" w:rsidRPr="00C80680">
        <w:t>[</w:t>
      </w:r>
      <w:r w:rsidR="00726CB9" w:rsidRPr="00C80680">
        <w:t>5</w:t>
      </w:r>
      <w:r w:rsidR="00E0246F" w:rsidRPr="00C80680">
        <w:t>]</w:t>
      </w:r>
      <w:r w:rsidR="00EB40FC" w:rsidRPr="00C80680">
        <w:t xml:space="preserve">. </w:t>
      </w:r>
      <w:r w:rsidR="00E0246F" w:rsidRPr="00C80680">
        <w:t xml:space="preserve"> </w:t>
      </w:r>
      <w:r w:rsidR="00470DF4" w:rsidRPr="00C80680">
        <w:t>Further</w:t>
      </w:r>
      <w:r w:rsidR="003555C8" w:rsidRPr="00C80680">
        <w:t>more</w:t>
      </w:r>
      <w:r w:rsidR="00E6381C" w:rsidRPr="00C80680">
        <w:t xml:space="preserve">, </w:t>
      </w:r>
      <w:r w:rsidR="00470DF4" w:rsidRPr="00C80680">
        <w:t xml:space="preserve">CBT </w:t>
      </w:r>
      <w:r w:rsidR="00726CB9" w:rsidRPr="00C80680">
        <w:t xml:space="preserve">does not outperform other standard treatments [6] and </w:t>
      </w:r>
      <w:r w:rsidR="00470DF4" w:rsidRPr="00C80680">
        <w:t xml:space="preserve">is even less effective for </w:t>
      </w:r>
      <w:r w:rsidR="00C708BE" w:rsidRPr="00C80680">
        <w:t xml:space="preserve">certain </w:t>
      </w:r>
      <w:r w:rsidR="00470DF4" w:rsidRPr="00C80680">
        <w:t xml:space="preserve">sub-populations, including </w:t>
      </w:r>
      <w:r w:rsidR="00C8009E" w:rsidRPr="00C80680">
        <w:t>patients exposed to trauma</w:t>
      </w:r>
      <w:r w:rsidR="00F1339C" w:rsidRPr="00C80680">
        <w:t>, those with chronic fatigue syndrome,</w:t>
      </w:r>
      <w:r w:rsidR="00C8009E" w:rsidRPr="00C80680">
        <w:t xml:space="preserve"> and </w:t>
      </w:r>
      <w:r w:rsidR="00470DF4" w:rsidRPr="00C80680">
        <w:t>veterans with G</w:t>
      </w:r>
      <w:r w:rsidR="00E6364D" w:rsidRPr="00C80680">
        <w:t xml:space="preserve">ulf </w:t>
      </w:r>
      <w:r w:rsidR="00470DF4" w:rsidRPr="00C80680">
        <w:t>W</w:t>
      </w:r>
      <w:r w:rsidR="00E6364D" w:rsidRPr="00C80680">
        <w:t xml:space="preserve">ar </w:t>
      </w:r>
      <w:r w:rsidR="00470DF4" w:rsidRPr="00C80680">
        <w:t>I</w:t>
      </w:r>
      <w:r w:rsidR="00E6364D" w:rsidRPr="00C80680">
        <w:t>llness</w:t>
      </w:r>
      <w:r w:rsidR="00470DF4" w:rsidRPr="00C80680">
        <w:t xml:space="preserve"> </w:t>
      </w:r>
      <w:r w:rsidR="00E0246F" w:rsidRPr="00C80680">
        <w:t>[7-8]</w:t>
      </w:r>
      <w:r w:rsidR="00470DF4" w:rsidRPr="00C80680">
        <w:t>.</w:t>
      </w:r>
      <w:r w:rsidR="00B17357" w:rsidRPr="00C80680">
        <w:t xml:space="preserve"> </w:t>
      </w:r>
    </w:p>
    <w:p w14:paraId="3CF820E2" w14:textId="67C37A8E" w:rsidR="00F71DDD" w:rsidRPr="00C80680" w:rsidRDefault="00EB40FC" w:rsidP="00C54C96">
      <w:pPr>
        <w:spacing w:line="480" w:lineRule="auto"/>
        <w:ind w:firstLine="720"/>
      </w:pPr>
      <w:r w:rsidRPr="00C80680">
        <w:t>One reason</w:t>
      </w:r>
      <w:r w:rsidR="009C1510" w:rsidRPr="00C80680">
        <w:t xml:space="preserve"> for the </w:t>
      </w:r>
      <w:r w:rsidR="00164777" w:rsidRPr="00C80680">
        <w:t>small effect size</w:t>
      </w:r>
      <w:r w:rsidR="00007836" w:rsidRPr="00C80680">
        <w:t>s in these studies</w:t>
      </w:r>
      <w:r w:rsidR="00164777" w:rsidRPr="00C80680">
        <w:t xml:space="preserve"> </w:t>
      </w:r>
      <w:r w:rsidR="007D2633" w:rsidRPr="00C80680">
        <w:t>may be</w:t>
      </w:r>
      <w:r w:rsidR="00164777" w:rsidRPr="00C80680">
        <w:t xml:space="preserve"> that </w:t>
      </w:r>
      <w:r w:rsidR="00F974AB" w:rsidRPr="00C80680">
        <w:t>it is unclear, and at times</w:t>
      </w:r>
      <w:r w:rsidR="00F96FD5" w:rsidRPr="00C80680">
        <w:t xml:space="preserve"> even</w:t>
      </w:r>
      <w:r w:rsidR="00F974AB" w:rsidRPr="00C80680">
        <w:t xml:space="preserve"> controversial, </w:t>
      </w:r>
      <w:r w:rsidR="00F974AB" w:rsidRPr="00C80680">
        <w:rPr>
          <w:i/>
        </w:rPr>
        <w:t>which</w:t>
      </w:r>
      <w:r w:rsidR="00F974AB" w:rsidRPr="00C80680">
        <w:t xml:space="preserve"> behaviors are related to</w:t>
      </w:r>
      <w:r w:rsidR="00164777" w:rsidRPr="00C80680">
        <w:t xml:space="preserve"> health outcomes for patients with MUS</w:t>
      </w:r>
      <w:r w:rsidR="00F974AB" w:rsidRPr="00C80680">
        <w:t xml:space="preserve">. </w:t>
      </w:r>
      <w:r w:rsidR="001761CF" w:rsidRPr="00C80680">
        <w:t xml:space="preserve">This was </w:t>
      </w:r>
      <w:r w:rsidR="00DC4E23" w:rsidRPr="00C80680">
        <w:t>seen after the PACE trial</w:t>
      </w:r>
      <w:r w:rsidR="00FC0CDC" w:rsidRPr="00C80680">
        <w:t xml:space="preserve"> for cognitive fatigue syndrome</w:t>
      </w:r>
      <w:r w:rsidR="00DC4E23" w:rsidRPr="00C80680">
        <w:t>, which compared</w:t>
      </w:r>
      <w:r w:rsidR="009D4DF3" w:rsidRPr="00C80680">
        <w:t xml:space="preserve"> typical</w:t>
      </w:r>
      <w:r w:rsidR="00DC4E23" w:rsidRPr="00C80680">
        <w:t xml:space="preserve"> </w:t>
      </w:r>
      <w:r w:rsidR="000129F7" w:rsidRPr="00C80680">
        <w:t xml:space="preserve">specialist medical care, </w:t>
      </w:r>
      <w:r w:rsidR="00B659B5" w:rsidRPr="00C80680">
        <w:t>CBT</w:t>
      </w:r>
      <w:r w:rsidR="000129F7" w:rsidRPr="00C80680">
        <w:t>, a</w:t>
      </w:r>
      <w:r w:rsidR="00B659B5" w:rsidRPr="00C80680">
        <w:t xml:space="preserve"> </w:t>
      </w:r>
      <w:r w:rsidR="000B093C" w:rsidRPr="00C80680">
        <w:t xml:space="preserve">treatment with </w:t>
      </w:r>
      <w:r w:rsidR="00DC4E23" w:rsidRPr="00C80680">
        <w:t>grad</w:t>
      </w:r>
      <w:r w:rsidR="000B093C" w:rsidRPr="00C80680">
        <w:t>ual</w:t>
      </w:r>
      <w:r w:rsidR="00DC4E23" w:rsidRPr="00C80680">
        <w:t xml:space="preserve"> increases in activity</w:t>
      </w:r>
      <w:r w:rsidR="000129F7" w:rsidRPr="00C80680">
        <w:t xml:space="preserve"> (graded exercise), and</w:t>
      </w:r>
      <w:r w:rsidR="00DC4E23" w:rsidRPr="00C80680">
        <w:t xml:space="preserve"> a treatment with pacing activity (</w:t>
      </w:r>
      <w:r w:rsidR="00F902AD" w:rsidRPr="00C80680">
        <w:t xml:space="preserve">adaptive pacing therapy, </w:t>
      </w:r>
      <w:r w:rsidR="00DC4E23" w:rsidRPr="00C80680">
        <w:t>which assumes that one has limited energy that needs to be reserved). After the trial, patients, advocates and other researchers argued to have the data reanalyzed</w:t>
      </w:r>
      <w:r w:rsidR="00275BDE" w:rsidRPr="00C80680">
        <w:t>,</w:t>
      </w:r>
      <w:r w:rsidR="00DC4E23" w:rsidRPr="00C80680">
        <w:t xml:space="preserve"> questioning the benefit of graded </w:t>
      </w:r>
      <w:r w:rsidR="00F902AD" w:rsidRPr="00C80680">
        <w:t>exercise</w:t>
      </w:r>
      <w:r w:rsidR="000129F7" w:rsidRPr="00C80680">
        <w:t xml:space="preserve"> and CBT</w:t>
      </w:r>
      <w:r w:rsidR="00691EB6" w:rsidRPr="00C80680">
        <w:t xml:space="preserve"> </w:t>
      </w:r>
      <w:r w:rsidR="00E0246F" w:rsidRPr="00C80680">
        <w:t>[9]</w:t>
      </w:r>
      <w:r w:rsidR="00DC4E23" w:rsidRPr="00C80680">
        <w:t xml:space="preserve">. Soon after this controversy, the US Center for Disease Control </w:t>
      </w:r>
      <w:r w:rsidR="004C6192" w:rsidRPr="00C80680">
        <w:t>removed</w:t>
      </w:r>
      <w:r w:rsidR="00DC4E23" w:rsidRPr="00C80680">
        <w:t xml:space="preserve"> their recommendation</w:t>
      </w:r>
      <w:r w:rsidR="00F20135" w:rsidRPr="00C80680">
        <w:t>s</w:t>
      </w:r>
      <w:r w:rsidR="00DC4E23" w:rsidRPr="00C80680">
        <w:t xml:space="preserve"> for graded </w:t>
      </w:r>
      <w:r w:rsidR="003E1B67" w:rsidRPr="00C80680">
        <w:t xml:space="preserve">exercise and CBT </w:t>
      </w:r>
      <w:r w:rsidR="00DC4E23" w:rsidRPr="00C80680">
        <w:t>as treatment</w:t>
      </w:r>
      <w:r w:rsidR="003E1B67" w:rsidRPr="00C80680">
        <w:t>s</w:t>
      </w:r>
      <w:r w:rsidR="00DC4E23" w:rsidRPr="00C80680">
        <w:t xml:space="preserve"> for chronic fatigue syndrome. </w:t>
      </w:r>
      <w:r w:rsidR="00B5033C" w:rsidRPr="00C80680">
        <w:t xml:space="preserve">This controversy has highlighted the need to </w:t>
      </w:r>
      <w:r w:rsidR="00F71DDD" w:rsidRPr="00C80680">
        <w:t xml:space="preserve">better understand the relationship between behavior and health outcomes among those with </w:t>
      </w:r>
      <w:proofErr w:type="gramStart"/>
      <w:r w:rsidR="00F71DDD" w:rsidRPr="00C80680">
        <w:t>MUS</w:t>
      </w:r>
      <w:r w:rsidR="00E43389" w:rsidRPr="00C80680">
        <w:t>, and</w:t>
      </w:r>
      <w:proofErr w:type="gramEnd"/>
      <w:r w:rsidR="00E43389" w:rsidRPr="00C80680">
        <w:t xml:space="preserve"> has </w:t>
      </w:r>
      <w:r w:rsidR="00AD2B10" w:rsidRPr="00C80680">
        <w:t>emphasized the importance of</w:t>
      </w:r>
      <w:r w:rsidR="00E43389" w:rsidRPr="00C80680">
        <w:t xml:space="preserve"> investiga</w:t>
      </w:r>
      <w:r w:rsidR="00AD2B10" w:rsidRPr="00C80680">
        <w:t>ting</w:t>
      </w:r>
      <w:r w:rsidR="00E43389" w:rsidRPr="00C80680">
        <w:t xml:space="preserve"> </w:t>
      </w:r>
      <w:r w:rsidR="00E43389" w:rsidRPr="00C80680">
        <w:lastRenderedPageBreak/>
        <w:t xml:space="preserve">daily functioning </w:t>
      </w:r>
      <w:r w:rsidR="00BB740A" w:rsidRPr="00C80680">
        <w:t xml:space="preserve">and disability </w:t>
      </w:r>
      <w:r w:rsidR="00E43389" w:rsidRPr="00C80680">
        <w:t xml:space="preserve">among those with MUS </w:t>
      </w:r>
      <w:r w:rsidR="002662EB" w:rsidRPr="00C80680">
        <w:t>in addition to assessing physical symptoms</w:t>
      </w:r>
      <w:r w:rsidR="00E0246F" w:rsidRPr="00C80680">
        <w:t xml:space="preserve"> [9-10].</w:t>
      </w:r>
    </w:p>
    <w:p w14:paraId="7E81DD8C" w14:textId="514195D1" w:rsidR="00854843" w:rsidRPr="00C80680" w:rsidRDefault="00F71DDD" w:rsidP="00C54C96">
      <w:pPr>
        <w:spacing w:line="480" w:lineRule="auto"/>
        <w:ind w:firstLine="720"/>
      </w:pPr>
      <w:r w:rsidRPr="00C80680">
        <w:t>Despite this</w:t>
      </w:r>
      <w:r w:rsidR="00B5033C" w:rsidRPr="00C80680">
        <w:t>,</w:t>
      </w:r>
      <w:r w:rsidR="001A0172" w:rsidRPr="00C80680">
        <w:t xml:space="preserve"> t</w:t>
      </w:r>
      <w:r w:rsidR="00583D70" w:rsidRPr="00C80680">
        <w:t xml:space="preserve">here have been few studies of the relationship of </w:t>
      </w:r>
      <w:r w:rsidR="004028D5" w:rsidRPr="00C80680">
        <w:t>behavioral responses</w:t>
      </w:r>
      <w:r w:rsidR="00583D70" w:rsidRPr="00C80680">
        <w:t xml:space="preserve"> to MUS and </w:t>
      </w:r>
      <w:r w:rsidR="00BB740A" w:rsidRPr="00C80680">
        <w:t>disability</w:t>
      </w:r>
      <w:r w:rsidR="0054212A" w:rsidRPr="00C80680">
        <w:t xml:space="preserve"> to gu</w:t>
      </w:r>
      <w:r w:rsidR="00583D70" w:rsidRPr="00C80680">
        <w:t>ide treatment development. Most studies have examined the relationship of general coping styles to health outcomes. And t</w:t>
      </w:r>
      <w:r w:rsidR="00E6381C" w:rsidRPr="00C80680">
        <w:t>he few s</w:t>
      </w:r>
      <w:r w:rsidR="00007EFB" w:rsidRPr="00C80680">
        <w:t xml:space="preserve">tudies on </w:t>
      </w:r>
      <w:r w:rsidR="000B093C" w:rsidRPr="00C80680">
        <w:t>MUS specific behavioral responses ha</w:t>
      </w:r>
      <w:r w:rsidR="00007EFB" w:rsidRPr="00C80680">
        <w:t>ve</w:t>
      </w:r>
      <w:r w:rsidR="000B093C" w:rsidRPr="00C80680">
        <w:t xml:space="preserve"> </w:t>
      </w:r>
      <w:r w:rsidR="00E6381C" w:rsidRPr="00C80680">
        <w:t xml:space="preserve">mostly </w:t>
      </w:r>
      <w:r w:rsidR="004028D5" w:rsidRPr="00C80680">
        <w:t xml:space="preserve">examined </w:t>
      </w:r>
      <w:r w:rsidR="000B093C" w:rsidRPr="00C80680">
        <w:t xml:space="preserve">how these behaviors </w:t>
      </w:r>
      <w:r w:rsidR="004028D5" w:rsidRPr="00C80680">
        <w:t xml:space="preserve">contribute to </w:t>
      </w:r>
      <w:r w:rsidR="000B093C" w:rsidRPr="00C80680">
        <w:t xml:space="preserve">the development of MUS </w:t>
      </w:r>
      <w:r w:rsidR="001761CF" w:rsidRPr="00C80680">
        <w:t xml:space="preserve">and have not yet focused on examining </w:t>
      </w:r>
      <w:r w:rsidRPr="00C80680">
        <w:t>the relationship between behavior and disability</w:t>
      </w:r>
      <w:r w:rsidR="001761CF" w:rsidRPr="00C80680">
        <w:t xml:space="preserve"> for long-standing </w:t>
      </w:r>
      <w:r w:rsidR="000B093C" w:rsidRPr="00C80680">
        <w:t>MUS. In a series of innovative studies, Moss-Morris and colleagues develop</w:t>
      </w:r>
      <w:r w:rsidR="007D2633" w:rsidRPr="00C80680">
        <w:t>ed</w:t>
      </w:r>
      <w:r w:rsidR="000B093C" w:rsidRPr="00C80680">
        <w:t xml:space="preserve"> a measure of behavioral predictors of MUS – the </w:t>
      </w:r>
      <w:proofErr w:type="spellStart"/>
      <w:r w:rsidR="000B093C" w:rsidRPr="00C80680">
        <w:t>B</w:t>
      </w:r>
      <w:r w:rsidR="00854843" w:rsidRPr="00C80680">
        <w:t>ehavioural</w:t>
      </w:r>
      <w:proofErr w:type="spellEnd"/>
      <w:r w:rsidR="00854843" w:rsidRPr="00C80680">
        <w:t xml:space="preserve"> </w:t>
      </w:r>
      <w:r w:rsidR="000B093C" w:rsidRPr="00C80680">
        <w:t>R</w:t>
      </w:r>
      <w:r w:rsidR="00854843" w:rsidRPr="00C80680">
        <w:t xml:space="preserve">esponses to </w:t>
      </w:r>
      <w:r w:rsidR="000B093C" w:rsidRPr="00C80680">
        <w:t>I</w:t>
      </w:r>
      <w:r w:rsidR="00854843" w:rsidRPr="00C80680">
        <w:t xml:space="preserve">llness </w:t>
      </w:r>
      <w:r w:rsidR="000B093C" w:rsidRPr="00C80680">
        <w:t>Q</w:t>
      </w:r>
      <w:r w:rsidR="00854843" w:rsidRPr="00C80680">
        <w:t>uestionnaire (BRIQ)</w:t>
      </w:r>
      <w:r w:rsidR="000B093C" w:rsidRPr="00C80680">
        <w:t>- and showed that</w:t>
      </w:r>
      <w:r w:rsidR="004028D5" w:rsidRPr="00C80680">
        <w:t xml:space="preserve"> behavioral responses to MUS</w:t>
      </w:r>
      <w:r w:rsidR="000B093C" w:rsidRPr="00C80680">
        <w:t xml:space="preserve"> are causally related to the onset of MUS. </w:t>
      </w:r>
      <w:proofErr w:type="gramStart"/>
      <w:r w:rsidR="000B093C" w:rsidRPr="00C80680">
        <w:t xml:space="preserve">In particular, </w:t>
      </w:r>
      <w:r w:rsidR="00E6364D" w:rsidRPr="00C80680">
        <w:t>all-or-nothing</w:t>
      </w:r>
      <w:proofErr w:type="gramEnd"/>
      <w:r w:rsidR="00E6364D" w:rsidRPr="00C80680">
        <w:t xml:space="preserve"> behaviors (i.e., a cycle of activity avoidance followed by extreme bouts of activity)</w:t>
      </w:r>
      <w:r w:rsidR="000B093C" w:rsidRPr="00C80680">
        <w:t xml:space="preserve"> </w:t>
      </w:r>
      <w:r w:rsidR="00E6364D" w:rsidRPr="00C80680">
        <w:t>in response to some initiating event like an infection or injury, predict onset of MUS</w:t>
      </w:r>
      <w:r w:rsidR="00D66D58" w:rsidRPr="00C80680">
        <w:t xml:space="preserve"> [11-13]</w:t>
      </w:r>
      <w:r w:rsidR="00E6364D" w:rsidRPr="00C80680">
        <w:t xml:space="preserve"> </w:t>
      </w:r>
      <w:r w:rsidR="00854843" w:rsidRPr="00C80680">
        <w:t xml:space="preserve">while seeking practical support </w:t>
      </w:r>
      <w:r w:rsidR="009E402E" w:rsidRPr="00C80680">
        <w:t xml:space="preserve">and limiting behaviors (i.e., reducing </w:t>
      </w:r>
      <w:r w:rsidR="004C6192" w:rsidRPr="00C80680">
        <w:t>activity</w:t>
      </w:r>
      <w:r w:rsidR="009E402E" w:rsidRPr="00C80680">
        <w:t xml:space="preserve">) </w:t>
      </w:r>
      <w:r w:rsidR="00854843" w:rsidRPr="00C80680">
        <w:t xml:space="preserve">can protect against the onset of MUS </w:t>
      </w:r>
      <w:r w:rsidR="00D66D58" w:rsidRPr="00C80680">
        <w:t xml:space="preserve">[11,13]. </w:t>
      </w:r>
    </w:p>
    <w:p w14:paraId="17894A19" w14:textId="77777777" w:rsidR="00C54C96" w:rsidRPr="00C80680" w:rsidRDefault="004028D5" w:rsidP="00C54C96">
      <w:pPr>
        <w:spacing w:line="480" w:lineRule="auto"/>
        <w:ind w:firstLine="720"/>
      </w:pPr>
      <w:r w:rsidRPr="00C80680">
        <w:t xml:space="preserve">There is some indication that these relationships may be different </w:t>
      </w:r>
      <w:r w:rsidR="009E402E" w:rsidRPr="00C80680">
        <w:t xml:space="preserve">when examining disability </w:t>
      </w:r>
      <w:r w:rsidRPr="00C80680">
        <w:t xml:space="preserve">among patients with long-standing MUS. </w:t>
      </w:r>
      <w:r w:rsidR="00E6364D" w:rsidRPr="00C80680">
        <w:t xml:space="preserve">For example, </w:t>
      </w:r>
      <w:r w:rsidR="00CC4166" w:rsidRPr="00C80680">
        <w:t>studies with measures of general coping and activity (as opposed to MUS</w:t>
      </w:r>
      <w:r w:rsidR="004C6192" w:rsidRPr="00C80680">
        <w:t>-</w:t>
      </w:r>
      <w:r w:rsidR="00CC4166" w:rsidRPr="00C80680">
        <w:t xml:space="preserve">specific responses) have found that </w:t>
      </w:r>
      <w:r w:rsidR="00E45AB6" w:rsidRPr="00C80680">
        <w:t>activity avoidance</w:t>
      </w:r>
      <w:r w:rsidR="00854843" w:rsidRPr="00C80680">
        <w:t xml:space="preserve"> </w:t>
      </w:r>
      <w:r w:rsidR="00091B28" w:rsidRPr="00C80680">
        <w:t>(</w:t>
      </w:r>
      <w:proofErr w:type="gramStart"/>
      <w:r w:rsidR="00091B28" w:rsidRPr="00C80680">
        <w:t>similar to</w:t>
      </w:r>
      <w:proofErr w:type="gramEnd"/>
      <w:r w:rsidR="00091B28" w:rsidRPr="00C80680">
        <w:t xml:space="preserve"> limiting behavior) is</w:t>
      </w:r>
      <w:r w:rsidR="00E6364D" w:rsidRPr="00C80680">
        <w:t xml:space="preserve"> associated with greater disability among those with ongoing MUS</w:t>
      </w:r>
      <w:r w:rsidR="00091B28" w:rsidRPr="00C80680">
        <w:t>, and there is mixed support for the role of practical support seeking on long-standing disability.</w:t>
      </w:r>
      <w:r w:rsidR="00E6364D" w:rsidRPr="00C80680">
        <w:t xml:space="preserve"> </w:t>
      </w:r>
      <w:r w:rsidR="00353EC7" w:rsidRPr="00C80680">
        <w:t>[14-15]. Surprisingly, few studies have used the BRIQ to understand how behavioral responses to MUS are related to disability among those with longstanding</w:t>
      </w:r>
      <w:r w:rsidR="005A2AE5" w:rsidRPr="00C80680">
        <w:t xml:space="preserve"> </w:t>
      </w:r>
      <w:r w:rsidR="00353EC7" w:rsidRPr="00C80680">
        <w:t xml:space="preserve">symptoms and these </w:t>
      </w:r>
      <w:r w:rsidR="004C6192" w:rsidRPr="00C80680">
        <w:t xml:space="preserve">studies </w:t>
      </w:r>
      <w:r w:rsidR="00353EC7" w:rsidRPr="00C80680">
        <w:t>have only used subscales, not the full measure [</w:t>
      </w:r>
      <w:r w:rsidR="00336F82" w:rsidRPr="00C80680">
        <w:t>16-</w:t>
      </w:r>
      <w:r w:rsidR="00CB3CF6" w:rsidRPr="00C80680">
        <w:t>17</w:t>
      </w:r>
      <w:r w:rsidR="00353EC7" w:rsidRPr="00C80680">
        <w:t>].</w:t>
      </w:r>
    </w:p>
    <w:p w14:paraId="692E1DA8" w14:textId="4AAE308C" w:rsidR="00813026" w:rsidRPr="00C80680" w:rsidRDefault="00007EFB" w:rsidP="00C54C96">
      <w:pPr>
        <w:spacing w:line="480" w:lineRule="auto"/>
        <w:ind w:firstLine="720"/>
      </w:pPr>
      <w:r w:rsidRPr="00C80680">
        <w:lastRenderedPageBreak/>
        <w:t xml:space="preserve">In addition to determining </w:t>
      </w:r>
      <w:r w:rsidRPr="00C80680">
        <w:rPr>
          <w:i/>
        </w:rPr>
        <w:t xml:space="preserve">which </w:t>
      </w:r>
      <w:r w:rsidRPr="00C80680">
        <w:t xml:space="preserve">behaviors are related to </w:t>
      </w:r>
      <w:r w:rsidR="00F71DDD" w:rsidRPr="00C80680">
        <w:t>disability</w:t>
      </w:r>
      <w:r w:rsidRPr="00C80680">
        <w:t xml:space="preserve">, we need </w:t>
      </w:r>
      <w:r w:rsidR="0054212A" w:rsidRPr="00C80680">
        <w:t>to improve our understanding</w:t>
      </w:r>
      <w:r w:rsidR="00A12D2B" w:rsidRPr="00C80680">
        <w:t xml:space="preserve"> of</w:t>
      </w:r>
      <w:r w:rsidR="0054212A" w:rsidRPr="00C80680">
        <w:t xml:space="preserve"> </w:t>
      </w:r>
      <w:r w:rsidR="0054212A" w:rsidRPr="00C80680">
        <w:rPr>
          <w:i/>
        </w:rPr>
        <w:t>what</w:t>
      </w:r>
      <w:r w:rsidR="0054212A" w:rsidRPr="00C80680">
        <w:t xml:space="preserve"> </w:t>
      </w:r>
      <w:r w:rsidR="00583D70" w:rsidRPr="00C80680">
        <w:t>contributes</w:t>
      </w:r>
      <w:r w:rsidR="0054212A" w:rsidRPr="00C80680">
        <w:t xml:space="preserve"> to these behavioral responses. </w:t>
      </w:r>
      <w:r w:rsidR="001656AA" w:rsidRPr="00C80680">
        <w:t xml:space="preserve">The </w:t>
      </w:r>
      <w:proofErr w:type="gramStart"/>
      <w:r w:rsidR="001656AA" w:rsidRPr="00C80680">
        <w:t>Common Sense</w:t>
      </w:r>
      <w:proofErr w:type="gramEnd"/>
      <w:r w:rsidR="001656AA" w:rsidRPr="00C80680">
        <w:t xml:space="preserve"> Model of Self-Regulation </w:t>
      </w:r>
      <w:r w:rsidR="00CB3CF6" w:rsidRPr="00C80680">
        <w:t xml:space="preserve">[18] </w:t>
      </w:r>
      <w:r w:rsidR="001656AA" w:rsidRPr="00C80680">
        <w:t xml:space="preserve">posits that beliefs about one’s illness direct the behavioral response to </w:t>
      </w:r>
      <w:r w:rsidR="00ED48BB" w:rsidRPr="00C80680">
        <w:t>that</w:t>
      </w:r>
      <w:r w:rsidR="0029495B" w:rsidRPr="00C80680">
        <w:t xml:space="preserve"> </w:t>
      </w:r>
      <w:r w:rsidR="001656AA" w:rsidRPr="00C80680">
        <w:t>illness, which in turn lead</w:t>
      </w:r>
      <w:r w:rsidR="003555C8" w:rsidRPr="00C80680">
        <w:t>s</w:t>
      </w:r>
      <w:r w:rsidR="001656AA" w:rsidRPr="00C80680">
        <w:t xml:space="preserve"> to either positive or negative health outcomes</w:t>
      </w:r>
      <w:r w:rsidR="00CB3CF6" w:rsidRPr="00C80680">
        <w:t xml:space="preserve"> [19]</w:t>
      </w:r>
      <w:r w:rsidR="00C949F8" w:rsidRPr="00C80680">
        <w:t>.</w:t>
      </w:r>
      <w:r w:rsidR="001656AA" w:rsidRPr="00C80680">
        <w:t xml:space="preserve">  </w:t>
      </w:r>
      <w:r w:rsidR="009E4BA9" w:rsidRPr="00C80680">
        <w:t>This is a</w:t>
      </w:r>
      <w:r w:rsidR="00020730" w:rsidRPr="00C80680">
        <w:t xml:space="preserve"> </w:t>
      </w:r>
      <w:r w:rsidR="009E4BA9" w:rsidRPr="00C80680">
        <w:t xml:space="preserve">feedback model where beliefs, behaviors, and health </w:t>
      </w:r>
      <w:r w:rsidR="00310C07" w:rsidRPr="00C80680">
        <w:t xml:space="preserve">continue to </w:t>
      </w:r>
      <w:proofErr w:type="gramStart"/>
      <w:r w:rsidR="00020730" w:rsidRPr="00C80680">
        <w:t>have an effect on</w:t>
      </w:r>
      <w:proofErr w:type="gramEnd"/>
      <w:r w:rsidR="00020730" w:rsidRPr="00C80680">
        <w:t xml:space="preserve"> each other in a cyclical fashion</w:t>
      </w:r>
      <w:r w:rsidR="009E4BA9" w:rsidRPr="00C80680">
        <w:t xml:space="preserve">. </w:t>
      </w:r>
      <w:r w:rsidR="001656AA" w:rsidRPr="00C80680">
        <w:t>For example, beliefs that an illnes</w:t>
      </w:r>
      <w:r w:rsidR="00E6381C" w:rsidRPr="00C80680">
        <w:t>s is severe and uncontrollable c</w:t>
      </w:r>
      <w:r w:rsidR="001656AA" w:rsidRPr="00C80680">
        <w:t>ould lead t</w:t>
      </w:r>
      <w:r w:rsidR="000333B8" w:rsidRPr="00C80680">
        <w:t>o all-or-nothing behavior</w:t>
      </w:r>
      <w:r w:rsidR="001656AA" w:rsidRPr="00C80680">
        <w:t>, which can, in turn, potentially lead to worsened disease state and related disability</w:t>
      </w:r>
      <w:r w:rsidR="009E4BA9" w:rsidRPr="00C80680">
        <w:t xml:space="preserve">, which could lead to stronger beliefs in the severity of the illness and </w:t>
      </w:r>
      <w:r w:rsidR="00031828" w:rsidRPr="00C80680">
        <w:t>more</w:t>
      </w:r>
      <w:r w:rsidR="009E4BA9" w:rsidRPr="00C80680">
        <w:t xml:space="preserve"> </w:t>
      </w:r>
      <w:r w:rsidR="000333B8" w:rsidRPr="00C80680">
        <w:t>all-or-nothing</w:t>
      </w:r>
      <w:r w:rsidR="009E4BA9" w:rsidRPr="00C80680">
        <w:t xml:space="preserve"> behavior, and so on</w:t>
      </w:r>
      <w:r w:rsidR="001656AA" w:rsidRPr="00C80680">
        <w:t>.</w:t>
      </w:r>
      <w:r w:rsidR="00A851B2" w:rsidRPr="00C80680">
        <w:t xml:space="preserve"> </w:t>
      </w:r>
      <w:r w:rsidR="00020730" w:rsidRPr="00C80680">
        <w:t xml:space="preserve"> </w:t>
      </w:r>
      <w:r w:rsidR="009932E6" w:rsidRPr="00C80680">
        <w:t xml:space="preserve">Illness beliefs </w:t>
      </w:r>
      <w:r w:rsidR="00E92A3E" w:rsidRPr="00C80680">
        <w:t xml:space="preserve">can be divided into two categories, threat-related beliefs and protective beliefs.  Threat-related beliefs </w:t>
      </w:r>
      <w:r w:rsidR="009724B2" w:rsidRPr="00C80680">
        <w:t>are</w:t>
      </w:r>
      <w:r w:rsidR="00E92A3E" w:rsidRPr="00C80680">
        <w:t xml:space="preserve"> beliefs that the illness is endangering to </w:t>
      </w:r>
      <w:r w:rsidR="009724B2" w:rsidRPr="00C80680">
        <w:t xml:space="preserve">the </w:t>
      </w:r>
      <w:r w:rsidR="00E92A3E" w:rsidRPr="00C80680">
        <w:t>individual and include such beliefs as the illness</w:t>
      </w:r>
      <w:r w:rsidR="009932E6" w:rsidRPr="00C80680">
        <w:t xml:space="preserve"> will last a long-time, has severe consequences, and </w:t>
      </w:r>
      <w:r w:rsidR="00904EB4" w:rsidRPr="00C80680">
        <w:t>results in negative emotional reactions</w:t>
      </w:r>
      <w:r w:rsidR="00E92A3E" w:rsidRPr="00C80680">
        <w:t xml:space="preserve">.  Protective illness </w:t>
      </w:r>
      <w:r w:rsidR="009932E6" w:rsidRPr="00C80680">
        <w:t xml:space="preserve">beliefs about MUS </w:t>
      </w:r>
      <w:r w:rsidR="009724B2" w:rsidRPr="00C80680">
        <w:t>are</w:t>
      </w:r>
      <w:r w:rsidR="00E92A3E" w:rsidRPr="00C80680">
        <w:t xml:space="preserve"> beliefs</w:t>
      </w:r>
      <w:r w:rsidR="00904EB4" w:rsidRPr="00C80680">
        <w:t xml:space="preserve"> that are generally considered more adaptive</w:t>
      </w:r>
      <w:r w:rsidR="00E92A3E" w:rsidRPr="00C80680">
        <w:t xml:space="preserve"> and include </w:t>
      </w:r>
      <w:r w:rsidR="00E92254" w:rsidRPr="00C80680">
        <w:t xml:space="preserve">beliefs </w:t>
      </w:r>
      <w:r w:rsidR="009932E6" w:rsidRPr="00C80680">
        <w:t xml:space="preserve">such </w:t>
      </w:r>
      <w:r w:rsidR="00E92A3E" w:rsidRPr="00C80680">
        <w:t>as</w:t>
      </w:r>
      <w:r w:rsidR="009932E6" w:rsidRPr="00C80680">
        <w:t xml:space="preserve"> one can control MUS</w:t>
      </w:r>
      <w:r w:rsidR="00904EB4" w:rsidRPr="00C80680">
        <w:t>, treatment can be beneficial,</w:t>
      </w:r>
      <w:r w:rsidR="009932E6" w:rsidRPr="00C80680">
        <w:t xml:space="preserve"> and that MUS is understandable. </w:t>
      </w:r>
      <w:r w:rsidR="00DD5C1F" w:rsidRPr="00C80680">
        <w:t>It is well known that illness beliefs are related to health outcomes</w:t>
      </w:r>
      <w:r w:rsidR="00C2050D" w:rsidRPr="00C80680">
        <w:t>, such as disability,</w:t>
      </w:r>
      <w:r w:rsidR="00DD5C1F" w:rsidRPr="00C80680">
        <w:t xml:space="preserve"> for </w:t>
      </w:r>
      <w:r w:rsidR="00600843" w:rsidRPr="00C80680">
        <w:t xml:space="preserve">those with </w:t>
      </w:r>
      <w:r w:rsidR="00DD5C1F" w:rsidRPr="00C80680">
        <w:t>MUS</w:t>
      </w:r>
      <w:r w:rsidR="00904EB4" w:rsidRPr="00C80680">
        <w:t>, with threat-related beliefs leading to worse outcomes</w:t>
      </w:r>
      <w:r w:rsidR="00C949F8" w:rsidRPr="00C80680">
        <w:t xml:space="preserve"> [20-22]</w:t>
      </w:r>
      <w:r w:rsidR="00D52889" w:rsidRPr="00C80680">
        <w:t xml:space="preserve">; </w:t>
      </w:r>
      <w:r w:rsidR="00DD5C1F" w:rsidRPr="00C80680">
        <w:t xml:space="preserve">what is not clear is if </w:t>
      </w:r>
      <w:r w:rsidR="00600843" w:rsidRPr="00C80680">
        <w:t xml:space="preserve">these </w:t>
      </w:r>
      <w:r w:rsidR="00DD5C1F" w:rsidRPr="00C80680">
        <w:t>illness beliefs are related to outcomes because they influence behavioral responses, as suggested by the Common-Sense Model.</w:t>
      </w:r>
    </w:p>
    <w:p w14:paraId="134DB01F" w14:textId="2222C304" w:rsidR="00E6381C" w:rsidRPr="00C80680" w:rsidRDefault="00B83267" w:rsidP="00C54C96">
      <w:pPr>
        <w:spacing w:line="480" w:lineRule="auto"/>
        <w:ind w:firstLine="720"/>
      </w:pPr>
      <w:r w:rsidRPr="00C80680">
        <w:t xml:space="preserve">McAndrew et al. conducted a meta-analysis of the relationship </w:t>
      </w:r>
      <w:r w:rsidR="002B5545" w:rsidRPr="00C80680">
        <w:t>between</w:t>
      </w:r>
      <w:r w:rsidRPr="00C80680">
        <w:t xml:space="preserve"> illness beliefs</w:t>
      </w:r>
      <w:r w:rsidR="00E6381C" w:rsidRPr="00C80680">
        <w:t>, behaviors</w:t>
      </w:r>
      <w:r w:rsidRPr="00C80680">
        <w:t xml:space="preserve"> and health outcomes</w:t>
      </w:r>
      <w:r w:rsidR="00C2050D" w:rsidRPr="00C80680">
        <w:t xml:space="preserve"> </w:t>
      </w:r>
      <w:r w:rsidRPr="00C80680">
        <w:t xml:space="preserve">to understand if these </w:t>
      </w:r>
      <w:r w:rsidR="00583D70" w:rsidRPr="00C80680">
        <w:t>illness beliefs dri</w:t>
      </w:r>
      <w:r w:rsidR="00E6381C" w:rsidRPr="00C80680">
        <w:t>ve behaviors and if this influenced outcomes</w:t>
      </w:r>
      <w:r w:rsidR="00C2050D" w:rsidRPr="00C80680">
        <w:t xml:space="preserve"> (specifically, perceived disease state, psychological distress, and quality of life)</w:t>
      </w:r>
      <w:r w:rsidR="00D52889" w:rsidRPr="00C80680">
        <w:t xml:space="preserve"> [23]</w:t>
      </w:r>
      <w:r w:rsidRPr="00C80680">
        <w:t xml:space="preserve">. They found </w:t>
      </w:r>
      <w:r w:rsidR="00612448" w:rsidRPr="00C80680">
        <w:t xml:space="preserve">that </w:t>
      </w:r>
      <w:r w:rsidR="00E6381C" w:rsidRPr="00C80680">
        <w:t xml:space="preserve">threatening illness beliefs (e.g., MUS has severe consequences) were related to poorer behavioral responses to MUS </w:t>
      </w:r>
      <w:r w:rsidRPr="00C80680">
        <w:t>(e.g., all-or-nothing behavior)</w:t>
      </w:r>
      <w:r w:rsidR="009932E6" w:rsidRPr="00C80680">
        <w:t xml:space="preserve"> which led to worse </w:t>
      </w:r>
      <w:r w:rsidR="009932E6" w:rsidRPr="00C80680">
        <w:lastRenderedPageBreak/>
        <w:t>health outcomes</w:t>
      </w:r>
      <w:r w:rsidR="00E6381C" w:rsidRPr="00C80680">
        <w:t>. P</w:t>
      </w:r>
      <w:r w:rsidRPr="00C80680">
        <w:t>rotective illness beliefs</w:t>
      </w:r>
      <w:r w:rsidR="00E6381C" w:rsidRPr="00C80680">
        <w:t xml:space="preserve"> (e.g., I can manage my MUS) inc</w:t>
      </w:r>
      <w:r w:rsidRPr="00C80680">
        <w:t>rease</w:t>
      </w:r>
      <w:r w:rsidR="00E6381C" w:rsidRPr="00C80680">
        <w:t>d</w:t>
      </w:r>
      <w:r w:rsidRPr="00C80680">
        <w:t xml:space="preserve"> positive </w:t>
      </w:r>
      <w:r w:rsidR="00E6381C" w:rsidRPr="00C80680">
        <w:t>behavioral responses (e.g., seeking social support) and decreased poorer behavioral responses</w:t>
      </w:r>
      <w:r w:rsidR="009932E6" w:rsidRPr="00C80680">
        <w:t>, resulting in better health outcomes</w:t>
      </w:r>
      <w:r w:rsidRPr="00C80680">
        <w:t>. This study suggested that</w:t>
      </w:r>
      <w:r w:rsidR="009932E6" w:rsidRPr="00C80680">
        <w:t xml:space="preserve"> illness beliefs do influence behaviors</w:t>
      </w:r>
      <w:r w:rsidRPr="00C80680">
        <w:t xml:space="preserve">; however, this meta-analysis </w:t>
      </w:r>
      <w:r w:rsidR="000A7EED" w:rsidRPr="00C80680">
        <w:t xml:space="preserve">collapsed </w:t>
      </w:r>
      <w:r w:rsidR="00612448" w:rsidRPr="00C80680">
        <w:t xml:space="preserve">across </w:t>
      </w:r>
      <w:r w:rsidR="00C93F32" w:rsidRPr="00C80680">
        <w:t xml:space="preserve">results from patients </w:t>
      </w:r>
      <w:r w:rsidR="00612448" w:rsidRPr="00C80680">
        <w:t xml:space="preserve">near </w:t>
      </w:r>
      <w:r w:rsidR="00C93F32" w:rsidRPr="00C80680">
        <w:t xml:space="preserve">the onset of </w:t>
      </w:r>
      <w:r w:rsidR="00612448" w:rsidRPr="00C80680">
        <w:t xml:space="preserve">their </w:t>
      </w:r>
      <w:r w:rsidR="00C93F32" w:rsidRPr="00C80680">
        <w:t xml:space="preserve">MUS and patients with long-standing </w:t>
      </w:r>
      <w:proofErr w:type="gramStart"/>
      <w:r w:rsidR="00C93F32" w:rsidRPr="00C80680">
        <w:t>MUS</w:t>
      </w:r>
      <w:r w:rsidR="00C2050D" w:rsidRPr="00C80680">
        <w:t>, and</w:t>
      </w:r>
      <w:proofErr w:type="gramEnd"/>
      <w:r w:rsidR="00C2050D" w:rsidRPr="00C80680">
        <w:t xml:space="preserve"> did not specifically assess disability</w:t>
      </w:r>
      <w:r w:rsidR="003D206C" w:rsidRPr="00C80680">
        <w:t xml:space="preserve">.  </w:t>
      </w:r>
      <w:r w:rsidR="00C93F32" w:rsidRPr="00C80680">
        <w:t xml:space="preserve">This study also collapsed </w:t>
      </w:r>
      <w:r w:rsidR="00612448" w:rsidRPr="00C80680">
        <w:t xml:space="preserve">across </w:t>
      </w:r>
      <w:proofErr w:type="gramStart"/>
      <w:r w:rsidRPr="00C80680">
        <w:t>behavi</w:t>
      </w:r>
      <w:r w:rsidR="00063DE6" w:rsidRPr="00C80680">
        <w:t>or</w:t>
      </w:r>
      <w:r w:rsidR="00612448" w:rsidRPr="00C80680">
        <w:t xml:space="preserve">al </w:t>
      </w:r>
      <w:r w:rsidR="00063DE6" w:rsidRPr="00C80680">
        <w:t xml:space="preserve"> categories</w:t>
      </w:r>
      <w:proofErr w:type="gramEnd"/>
      <w:r w:rsidR="00063DE6" w:rsidRPr="00C80680">
        <w:t xml:space="preserve"> which limit</w:t>
      </w:r>
      <w:r w:rsidR="005B0905" w:rsidRPr="00C80680">
        <w:t>s</w:t>
      </w:r>
      <w:r w:rsidRPr="00C80680">
        <w:t xml:space="preserve"> information about which specific behaviors best predict health outcomes</w:t>
      </w:r>
      <w:r w:rsidR="005B0905" w:rsidRPr="00C80680">
        <w:t>.</w:t>
      </w:r>
      <w:r w:rsidR="00C93F32" w:rsidRPr="00C80680">
        <w:t xml:space="preserve"> </w:t>
      </w:r>
      <w:r w:rsidR="005B0905" w:rsidRPr="00C80680">
        <w:t>T</w:t>
      </w:r>
      <w:r w:rsidR="00C93F32" w:rsidRPr="00C80680">
        <w:t xml:space="preserve">his is particularly problematic </w:t>
      </w:r>
      <w:r w:rsidR="00C02354" w:rsidRPr="00C80680">
        <w:t xml:space="preserve">because </w:t>
      </w:r>
      <w:r w:rsidR="00C93F32" w:rsidRPr="00C80680">
        <w:t>r</w:t>
      </w:r>
      <w:r w:rsidRPr="00C80680">
        <w:t xml:space="preserve">esearch </w:t>
      </w:r>
      <w:r w:rsidR="00C93F32" w:rsidRPr="00C80680">
        <w:t xml:space="preserve">on </w:t>
      </w:r>
      <w:r w:rsidRPr="00C80680">
        <w:t>specific behaviors finds inconsistent relationship</w:t>
      </w:r>
      <w:r w:rsidR="00C93F32" w:rsidRPr="00C80680">
        <w:t>s</w:t>
      </w:r>
      <w:r w:rsidRPr="00C80680">
        <w:t xml:space="preserve"> between </w:t>
      </w:r>
      <w:r w:rsidR="00C02354" w:rsidRPr="00C80680">
        <w:t xml:space="preserve">specific </w:t>
      </w:r>
      <w:r w:rsidRPr="00C80680">
        <w:t>behaviors and</w:t>
      </w:r>
      <w:r w:rsidR="00C2050D" w:rsidRPr="00C80680">
        <w:t xml:space="preserve"> </w:t>
      </w:r>
      <w:r w:rsidR="00C02354" w:rsidRPr="00C80680">
        <w:t xml:space="preserve">specific </w:t>
      </w:r>
      <w:r w:rsidR="00C2050D" w:rsidRPr="00C80680">
        <w:t>health</w:t>
      </w:r>
      <w:r w:rsidRPr="00C80680">
        <w:t xml:space="preserve"> outcomes </w:t>
      </w:r>
      <w:r w:rsidR="00D52889" w:rsidRPr="00C80680">
        <w:t>[</w:t>
      </w:r>
      <w:r w:rsidR="00E46A6A" w:rsidRPr="00C80680">
        <w:t>21,24-29</w:t>
      </w:r>
      <w:r w:rsidR="00D52889" w:rsidRPr="00C80680">
        <w:t xml:space="preserve">]. </w:t>
      </w:r>
    </w:p>
    <w:p w14:paraId="390A80E1" w14:textId="15B10447" w:rsidR="00937F7D" w:rsidRPr="00C80680" w:rsidRDefault="00EB40FC" w:rsidP="00C54C96">
      <w:pPr>
        <w:spacing w:line="480" w:lineRule="auto"/>
        <w:ind w:firstLine="720"/>
      </w:pPr>
      <w:r w:rsidRPr="00C80680">
        <w:t>T</w:t>
      </w:r>
      <w:r w:rsidR="00C01879" w:rsidRPr="00C80680">
        <w:t xml:space="preserve">he </w:t>
      </w:r>
      <w:r w:rsidR="00731CB2" w:rsidRPr="00C80680">
        <w:t xml:space="preserve">aim of the </w:t>
      </w:r>
      <w:r w:rsidR="00C01879" w:rsidRPr="00C80680">
        <w:t xml:space="preserve">present study </w:t>
      </w:r>
      <w:r w:rsidR="00731CB2" w:rsidRPr="00C80680">
        <w:t>is to address the gaps in our understanding of</w:t>
      </w:r>
      <w:r w:rsidRPr="00C80680">
        <w:t xml:space="preserve"> </w:t>
      </w:r>
      <w:r w:rsidR="009932E6" w:rsidRPr="00C80680">
        <w:rPr>
          <w:i/>
        </w:rPr>
        <w:t xml:space="preserve">which </w:t>
      </w:r>
      <w:r w:rsidR="001456C0" w:rsidRPr="00C80680">
        <w:t xml:space="preserve">behavioral responses </w:t>
      </w:r>
      <w:r w:rsidR="009932E6" w:rsidRPr="00C80680">
        <w:t xml:space="preserve">are related to </w:t>
      </w:r>
      <w:r w:rsidR="00F71DDD" w:rsidRPr="00C80680">
        <w:t>disability</w:t>
      </w:r>
      <w:r w:rsidR="009932E6" w:rsidRPr="00C80680">
        <w:t xml:space="preserve"> and </w:t>
      </w:r>
      <w:r w:rsidR="00583D70" w:rsidRPr="00C80680">
        <w:rPr>
          <w:i/>
        </w:rPr>
        <w:t>what</w:t>
      </w:r>
      <w:r w:rsidR="0054212A" w:rsidRPr="00C80680">
        <w:t xml:space="preserve"> factors contribute to these behavioral responses (i.e., illness beliefs) am</w:t>
      </w:r>
      <w:r w:rsidR="009932E6" w:rsidRPr="00C80680">
        <w:t xml:space="preserve">ong patients with long-standing MUS, </w:t>
      </w:r>
      <w:r w:rsidR="009E2584" w:rsidRPr="00C80680">
        <w:t xml:space="preserve">namely, </w:t>
      </w:r>
      <w:r w:rsidR="009932E6" w:rsidRPr="00C80680">
        <w:t>veterans with Gulf War Illness</w:t>
      </w:r>
      <w:r w:rsidR="00583D70" w:rsidRPr="00C80680">
        <w:t xml:space="preserve"> </w:t>
      </w:r>
      <w:r w:rsidR="009E402E" w:rsidRPr="00C80680">
        <w:t>(GWI).  GWI</w:t>
      </w:r>
      <w:r w:rsidR="00583D70" w:rsidRPr="00C80680">
        <w:t xml:space="preserve"> is characterized by </w:t>
      </w:r>
      <w:r w:rsidR="009F300C" w:rsidRPr="00C80680">
        <w:t xml:space="preserve">a cluster of </w:t>
      </w:r>
      <w:r w:rsidR="00EA670A" w:rsidRPr="00C80680">
        <w:t xml:space="preserve">medically unexplained symptoms (e.g., </w:t>
      </w:r>
      <w:r w:rsidR="00583D70" w:rsidRPr="00C80680">
        <w:t xml:space="preserve">chronic pain, </w:t>
      </w:r>
      <w:r w:rsidR="00EA670A" w:rsidRPr="00C80680">
        <w:t xml:space="preserve">chronic </w:t>
      </w:r>
      <w:r w:rsidR="00583D70" w:rsidRPr="00C80680">
        <w:t>fatigue</w:t>
      </w:r>
      <w:r w:rsidR="00EA670A" w:rsidRPr="00C80680">
        <w:t xml:space="preserve">, gastrointestinal symptoms, respiratory symptoms, skin conditions, and neurological and cognitive symptoms) that emerged </w:t>
      </w:r>
      <w:r w:rsidR="001128A2" w:rsidRPr="00C80680">
        <w:t xml:space="preserve">among veterans after their </w:t>
      </w:r>
      <w:r w:rsidR="00EA670A" w:rsidRPr="00C80680">
        <w:t>service in the 1990-1991 Gulf War</w:t>
      </w:r>
      <w:r w:rsidR="009932E6" w:rsidRPr="00C80680">
        <w:t xml:space="preserve">. </w:t>
      </w:r>
      <w:r w:rsidR="00CF2CF8" w:rsidRPr="00C80680">
        <w:t xml:space="preserve"> While research</w:t>
      </w:r>
      <w:r w:rsidR="00EA670A" w:rsidRPr="00C80680">
        <w:t xml:space="preserve"> is investigating the association between </w:t>
      </w:r>
      <w:r w:rsidR="00B2294C" w:rsidRPr="00C80680">
        <w:t>GWI symptoms and certain environmental exposures during military service, there is no consensus on a single causative agent, the</w:t>
      </w:r>
      <w:r w:rsidR="00EA670A" w:rsidRPr="00C80680">
        <w:t xml:space="preserve"> physiological underpinnings of the illness</w:t>
      </w:r>
      <w:r w:rsidR="00B2294C" w:rsidRPr="00C80680">
        <w:t xml:space="preserve">, or an effective medical treatment </w:t>
      </w:r>
      <w:r w:rsidR="00DF5FA6" w:rsidRPr="00C80680">
        <w:t>[3</w:t>
      </w:r>
      <w:r w:rsidR="005C18A3" w:rsidRPr="00C80680">
        <w:t>1</w:t>
      </w:r>
      <w:r w:rsidR="00DF5FA6" w:rsidRPr="00C80680">
        <w:t>]</w:t>
      </w:r>
      <w:r w:rsidR="00EA670A" w:rsidRPr="00C80680">
        <w:t xml:space="preserve">.  </w:t>
      </w:r>
      <w:r w:rsidR="0054212A" w:rsidRPr="00C80680">
        <w:t>U</w:t>
      </w:r>
      <w:r w:rsidR="001456C0" w:rsidRPr="00C80680">
        <w:t>sing data from veterans with GWI provides the opportunity to assess th</w:t>
      </w:r>
      <w:r w:rsidR="00E43061" w:rsidRPr="00C80680">
        <w:t>e</w:t>
      </w:r>
      <w:r w:rsidR="001456C0" w:rsidRPr="00C80680">
        <w:t xml:space="preserve"> relationship </w:t>
      </w:r>
      <w:r w:rsidR="00E43061" w:rsidRPr="00C80680">
        <w:t xml:space="preserve">between illness beliefs, behaviors, and disability </w:t>
      </w:r>
      <w:r w:rsidR="001456C0" w:rsidRPr="00C80680">
        <w:t xml:space="preserve">in a sub-population with </w:t>
      </w:r>
      <w:r w:rsidR="0054212A" w:rsidRPr="00C80680">
        <w:t xml:space="preserve">particularly complex </w:t>
      </w:r>
      <w:r w:rsidR="000A7EED" w:rsidRPr="00C80680">
        <w:t xml:space="preserve">and longstanding </w:t>
      </w:r>
      <w:r w:rsidR="001456C0" w:rsidRPr="00C80680">
        <w:t>MUS</w:t>
      </w:r>
      <w:r w:rsidR="00E43061" w:rsidRPr="00C80680">
        <w:t>,</w:t>
      </w:r>
      <w:r w:rsidR="0054212A" w:rsidRPr="00C80680">
        <w:t xml:space="preserve"> which </w:t>
      </w:r>
      <w:r w:rsidR="00F447BE" w:rsidRPr="00C80680">
        <w:t xml:space="preserve">could </w:t>
      </w:r>
      <w:r w:rsidR="0054212A" w:rsidRPr="00C80680">
        <w:t>inform the c</w:t>
      </w:r>
      <w:r w:rsidR="0035265F" w:rsidRPr="00C80680">
        <w:t>ritical behaviors and beliefs</w:t>
      </w:r>
      <w:r w:rsidR="009932E6" w:rsidRPr="00C80680">
        <w:t xml:space="preserve"> </w:t>
      </w:r>
      <w:r w:rsidR="0035265F" w:rsidRPr="00C80680">
        <w:t xml:space="preserve">for </w:t>
      </w:r>
      <w:r w:rsidR="00512C1E" w:rsidRPr="00C80680">
        <w:t xml:space="preserve">many other </w:t>
      </w:r>
      <w:r w:rsidR="0035265F" w:rsidRPr="00C80680">
        <w:t xml:space="preserve">patients with MUS. </w:t>
      </w:r>
    </w:p>
    <w:p w14:paraId="6C0AA6B0" w14:textId="77777777" w:rsidR="00937F7D" w:rsidRPr="00C80680" w:rsidRDefault="00937F7D" w:rsidP="00C54C96">
      <w:pPr>
        <w:spacing w:line="480" w:lineRule="auto"/>
      </w:pPr>
    </w:p>
    <w:p w14:paraId="6A349E60" w14:textId="2725FC67" w:rsidR="001456C0" w:rsidRPr="00C80680" w:rsidRDefault="00937F7D" w:rsidP="00C54C96">
      <w:pPr>
        <w:spacing w:line="480" w:lineRule="auto"/>
        <w:ind w:firstLine="720"/>
      </w:pPr>
      <w:r w:rsidRPr="00C80680">
        <w:lastRenderedPageBreak/>
        <w:t>O</w:t>
      </w:r>
      <w:r w:rsidR="005F4011" w:rsidRPr="00C80680">
        <w:t>ur a priori hypotheses</w:t>
      </w:r>
      <w:r w:rsidR="001720A7" w:rsidRPr="00C80680">
        <w:t xml:space="preserve"> </w:t>
      </w:r>
      <w:r w:rsidR="00583D70" w:rsidRPr="00C80680">
        <w:t>are</w:t>
      </w:r>
      <w:r w:rsidRPr="00C80680">
        <w:t xml:space="preserve"> t</w:t>
      </w:r>
      <w:r w:rsidR="001720A7" w:rsidRPr="00C80680">
        <w:t>hat</w:t>
      </w:r>
      <w:bookmarkStart w:id="1" w:name="_Hlk3535256"/>
      <w:r w:rsidR="009932E6" w:rsidRPr="00C80680">
        <w:t xml:space="preserve"> greater all-or-nothing and </w:t>
      </w:r>
      <w:r w:rsidR="00F17671" w:rsidRPr="00C80680">
        <w:t>limiting</w:t>
      </w:r>
      <w:r w:rsidR="009932E6" w:rsidRPr="00C80680">
        <w:t xml:space="preserve"> behaviors w</w:t>
      </w:r>
      <w:r w:rsidR="00583D70" w:rsidRPr="00C80680">
        <w:t>ill</w:t>
      </w:r>
      <w:r w:rsidR="009932E6" w:rsidRPr="00C80680">
        <w:t xml:space="preserve"> </w:t>
      </w:r>
      <w:r w:rsidRPr="00C80680">
        <w:t xml:space="preserve">be associated with </w:t>
      </w:r>
      <w:r w:rsidR="00C74198" w:rsidRPr="00C80680">
        <w:t xml:space="preserve">greater </w:t>
      </w:r>
      <w:r w:rsidR="009932E6" w:rsidRPr="00C80680">
        <w:t>disability</w:t>
      </w:r>
      <w:r w:rsidR="00091B28" w:rsidRPr="00C80680">
        <w:t xml:space="preserve"> among those with long-standing MUS</w:t>
      </w:r>
      <w:r w:rsidR="009932E6" w:rsidRPr="00C80680">
        <w:t xml:space="preserve">, whereas greater practical support </w:t>
      </w:r>
      <w:proofErr w:type="gramStart"/>
      <w:r w:rsidR="009932E6" w:rsidRPr="00C80680">
        <w:t>seeking</w:t>
      </w:r>
      <w:proofErr w:type="gramEnd"/>
      <w:r w:rsidR="009932E6" w:rsidRPr="00C80680">
        <w:t xml:space="preserve"> and emotional support seeking w</w:t>
      </w:r>
      <w:r w:rsidR="00583D70" w:rsidRPr="00C80680">
        <w:t>ill</w:t>
      </w:r>
      <w:r w:rsidR="009932E6" w:rsidRPr="00C80680">
        <w:t xml:space="preserve"> </w:t>
      </w:r>
      <w:r w:rsidRPr="00C80680">
        <w:t xml:space="preserve">be associated with </w:t>
      </w:r>
      <w:r w:rsidR="009932E6" w:rsidRPr="00C80680">
        <w:t xml:space="preserve">less disability. </w:t>
      </w:r>
      <w:r w:rsidR="00583D70" w:rsidRPr="00C80680">
        <w:t>Additionally, we hypothesize</w:t>
      </w:r>
      <w:r w:rsidRPr="00C80680">
        <w:t xml:space="preserve"> that illness beliefs w</w:t>
      </w:r>
      <w:r w:rsidR="00087889" w:rsidRPr="00C80680">
        <w:t xml:space="preserve">ill </w:t>
      </w:r>
      <w:r w:rsidRPr="00C80680">
        <w:t>be associated with these behaviors; th</w:t>
      </w:r>
      <w:r w:rsidR="0054212A" w:rsidRPr="00C80680">
        <w:t xml:space="preserve">at </w:t>
      </w:r>
      <w:proofErr w:type="gramStart"/>
      <w:r w:rsidR="0054212A" w:rsidRPr="00C80680">
        <w:t>is</w:t>
      </w:r>
      <w:proofErr w:type="gramEnd"/>
      <w:r w:rsidR="0054212A" w:rsidRPr="00C80680">
        <w:t xml:space="preserve"> we</w:t>
      </w:r>
      <w:r w:rsidR="00583D70" w:rsidRPr="00C80680">
        <w:t xml:space="preserve"> </w:t>
      </w:r>
      <w:r w:rsidR="000A7EED" w:rsidRPr="00C80680">
        <w:t xml:space="preserve">are testing </w:t>
      </w:r>
      <w:r w:rsidRPr="00C80680">
        <w:t>a mediational</w:t>
      </w:r>
      <w:r w:rsidR="00DD5C1F" w:rsidRPr="00C80680">
        <w:t xml:space="preserve"> model where behaviors mediate the relationship between illness beliefs and health outcomes. Specifically, </w:t>
      </w:r>
      <w:bookmarkEnd w:id="1"/>
      <w:r w:rsidR="00DE728D" w:rsidRPr="00C80680">
        <w:t>greater all-or-nothing and avoidance behaviors w</w:t>
      </w:r>
      <w:r w:rsidR="00583D70" w:rsidRPr="00C80680">
        <w:t>ill</w:t>
      </w:r>
      <w:r w:rsidR="00DE728D" w:rsidRPr="00C80680">
        <w:t xml:space="preserve"> mediate the relationship between greater threat-related illness beliefs and worse disability, whereas greater practical support </w:t>
      </w:r>
      <w:proofErr w:type="gramStart"/>
      <w:r w:rsidR="00DE728D" w:rsidRPr="00C80680">
        <w:t>seeking</w:t>
      </w:r>
      <w:proofErr w:type="gramEnd"/>
      <w:r w:rsidR="00DE728D" w:rsidRPr="00C80680">
        <w:t xml:space="preserve"> and emotional support seeking would mediate the relationship between greater protective illness beliefs and less disability. </w:t>
      </w:r>
    </w:p>
    <w:p w14:paraId="336F847F" w14:textId="28E166E1" w:rsidR="008B5F8E" w:rsidRPr="00C80680" w:rsidRDefault="005A36D7" w:rsidP="00C54C96">
      <w:pPr>
        <w:spacing w:line="480" w:lineRule="auto"/>
        <w:jc w:val="center"/>
        <w:rPr>
          <w:b/>
        </w:rPr>
      </w:pPr>
      <w:r w:rsidRPr="00C80680">
        <w:rPr>
          <w:b/>
        </w:rPr>
        <w:t>Method</w:t>
      </w:r>
    </w:p>
    <w:p w14:paraId="53CAD5A6" w14:textId="4E25FD3A" w:rsidR="005A36D7" w:rsidRPr="00C80680" w:rsidRDefault="005A36D7" w:rsidP="00C54C96">
      <w:pPr>
        <w:spacing w:line="480" w:lineRule="auto"/>
        <w:rPr>
          <w:b/>
        </w:rPr>
      </w:pPr>
      <w:r w:rsidRPr="00C80680">
        <w:rPr>
          <w:b/>
        </w:rPr>
        <w:t>Participants</w:t>
      </w:r>
      <w:r w:rsidR="00345FE8" w:rsidRPr="00C80680">
        <w:rPr>
          <w:b/>
        </w:rPr>
        <w:t xml:space="preserve"> and Procedure</w:t>
      </w:r>
    </w:p>
    <w:p w14:paraId="3CAA0ECF" w14:textId="7750D40E" w:rsidR="00921D6E" w:rsidRPr="00C80680" w:rsidRDefault="00D26BFD" w:rsidP="00C54C96">
      <w:pPr>
        <w:spacing w:line="480" w:lineRule="auto"/>
      </w:pPr>
      <w:r w:rsidRPr="00C80680">
        <w:t xml:space="preserve">The current cross-sectional study examined data from the baseline assessment of a </w:t>
      </w:r>
      <w:r w:rsidR="00E0074F" w:rsidRPr="00C80680">
        <w:t xml:space="preserve">multi-site </w:t>
      </w:r>
      <w:r w:rsidRPr="00C80680">
        <w:t>randomized control</w:t>
      </w:r>
      <w:r w:rsidR="00D34282" w:rsidRPr="00C80680">
        <w:t>led</w:t>
      </w:r>
      <w:r w:rsidRPr="00C80680">
        <w:t xml:space="preserve"> trial (RCT)</w:t>
      </w:r>
      <w:r w:rsidR="00F34A03" w:rsidRPr="00C80680">
        <w:t xml:space="preserve"> comparing health education and problem-solving treatment among veterans with </w:t>
      </w:r>
      <w:r w:rsidR="00411542" w:rsidRPr="00C80680">
        <w:t>G</w:t>
      </w:r>
      <w:r w:rsidR="00C0030D" w:rsidRPr="00C80680">
        <w:t xml:space="preserve">ulf </w:t>
      </w:r>
      <w:r w:rsidR="00411542" w:rsidRPr="00C80680">
        <w:t>W</w:t>
      </w:r>
      <w:r w:rsidR="00C0030D" w:rsidRPr="00C80680">
        <w:t xml:space="preserve">ar </w:t>
      </w:r>
      <w:r w:rsidR="00411542" w:rsidRPr="00C80680">
        <w:t>I</w:t>
      </w:r>
      <w:r w:rsidR="00C0030D" w:rsidRPr="00C80680">
        <w:t>llness (GWI)</w:t>
      </w:r>
      <w:r w:rsidRPr="00C80680">
        <w:t xml:space="preserve">.  </w:t>
      </w:r>
      <w:r w:rsidR="00C73495" w:rsidRPr="00C80680">
        <w:t xml:space="preserve">Participants were recruited </w:t>
      </w:r>
      <w:r w:rsidR="00D65624" w:rsidRPr="00C80680">
        <w:t xml:space="preserve">nationally </w:t>
      </w:r>
      <w:r w:rsidR="00C73495" w:rsidRPr="00C80680">
        <w:t xml:space="preserve">through </w:t>
      </w:r>
      <w:r w:rsidR="00F34A03" w:rsidRPr="00C80680">
        <w:t xml:space="preserve">letters and flyers </w:t>
      </w:r>
      <w:r w:rsidR="00C73495" w:rsidRPr="00C80680">
        <w:t xml:space="preserve">as well as various outreach events, and monetary </w:t>
      </w:r>
      <w:r w:rsidR="00E62A98" w:rsidRPr="00C80680">
        <w:t>compensation was</w:t>
      </w:r>
      <w:r w:rsidR="00C73495" w:rsidRPr="00C80680">
        <w:t xml:space="preserve"> provided</w:t>
      </w:r>
      <w:r w:rsidR="00E62A98" w:rsidRPr="00C80680">
        <w:t xml:space="preserve"> for participation</w:t>
      </w:r>
      <w:r w:rsidR="00C73495" w:rsidRPr="00C80680">
        <w:t xml:space="preserve">.  </w:t>
      </w:r>
      <w:r w:rsidR="00A306FC" w:rsidRPr="00C80680">
        <w:t>I</w:t>
      </w:r>
      <w:r w:rsidR="00C73495" w:rsidRPr="00C80680">
        <w:t>nclusion criteria</w:t>
      </w:r>
      <w:r w:rsidR="00A306FC" w:rsidRPr="00C80680">
        <w:t xml:space="preserve"> included</w:t>
      </w:r>
      <w:r w:rsidR="00F34A03" w:rsidRPr="00C80680">
        <w:t xml:space="preserve">: </w:t>
      </w:r>
      <w:r w:rsidR="00C73495" w:rsidRPr="00C80680">
        <w:t>deployment to</w:t>
      </w:r>
      <w:r w:rsidR="00A306FC" w:rsidRPr="00C80680">
        <w:t xml:space="preserve"> Operation Desert Shield/</w:t>
      </w:r>
      <w:proofErr w:type="gramStart"/>
      <w:r w:rsidR="00A306FC" w:rsidRPr="00C80680">
        <w:t>Storm</w:t>
      </w:r>
      <w:r w:rsidR="00C73495" w:rsidRPr="00C80680">
        <w:t>,</w:t>
      </w:r>
      <w:r w:rsidR="00F34A03" w:rsidRPr="00C80680">
        <w:t xml:space="preserve"> </w:t>
      </w:r>
      <w:r w:rsidR="00411542" w:rsidRPr="00C80680">
        <w:t xml:space="preserve"> </w:t>
      </w:r>
      <w:r w:rsidR="005D0420" w:rsidRPr="00C80680">
        <w:t>daily</w:t>
      </w:r>
      <w:proofErr w:type="gramEnd"/>
      <w:r w:rsidR="005D0420" w:rsidRPr="00C80680">
        <w:t xml:space="preserve"> functioning</w:t>
      </w:r>
      <w:r w:rsidR="00F34A03" w:rsidRPr="00C80680">
        <w:t xml:space="preserve"> half a standard deviation </w:t>
      </w:r>
      <w:r w:rsidR="005D0420" w:rsidRPr="00C80680">
        <w:t xml:space="preserve">below </w:t>
      </w:r>
      <w:r w:rsidR="00F34A03" w:rsidRPr="00C80680">
        <w:t xml:space="preserve">the mean </w:t>
      </w:r>
      <w:r w:rsidR="005D0420" w:rsidRPr="00C80680">
        <w:t xml:space="preserve">as measured by </w:t>
      </w:r>
      <w:r w:rsidR="00F34A03" w:rsidRPr="00C80680">
        <w:t xml:space="preserve">the </w:t>
      </w:r>
      <w:bookmarkStart w:id="2" w:name="_Hlk525632215"/>
      <w:r w:rsidR="00F34A03" w:rsidRPr="00C80680">
        <w:t>World Health Organization Disability Schedule</w:t>
      </w:r>
      <w:bookmarkEnd w:id="2"/>
      <w:r w:rsidR="00537F45" w:rsidRPr="00C80680">
        <w:t xml:space="preserve"> (WHODAS 2.0)</w:t>
      </w:r>
      <w:r w:rsidR="00DF5FA6" w:rsidRPr="00C80680">
        <w:t xml:space="preserve"> </w:t>
      </w:r>
      <w:r w:rsidR="008B5DDC" w:rsidRPr="00C80680">
        <w:t>[3</w:t>
      </w:r>
      <w:r w:rsidR="005C18A3" w:rsidRPr="00C80680">
        <w:t>3</w:t>
      </w:r>
      <w:r w:rsidR="008B5DDC" w:rsidRPr="00C80680">
        <w:t>]</w:t>
      </w:r>
      <w:r w:rsidR="00633AED" w:rsidRPr="00C80680">
        <w:t xml:space="preserve">, and diagnosis of GWI as measured by </w:t>
      </w:r>
      <w:r w:rsidR="00EA40E1" w:rsidRPr="00C80680">
        <w:t xml:space="preserve">participants’ self-report on </w:t>
      </w:r>
      <w:r w:rsidR="00633AED" w:rsidRPr="00C80680">
        <w:t xml:space="preserve">the Kansas </w:t>
      </w:r>
      <w:r w:rsidR="00813653" w:rsidRPr="00C80680">
        <w:t>symptom</w:t>
      </w:r>
      <w:r w:rsidR="00514E38" w:rsidRPr="00C80680">
        <w:t xml:space="preserve"> questionnaire</w:t>
      </w:r>
      <w:r w:rsidR="00F34A03" w:rsidRPr="00C80680">
        <w:t>.</w:t>
      </w:r>
      <w:r w:rsidR="006552C2" w:rsidRPr="00C80680">
        <w:t xml:space="preserve"> </w:t>
      </w:r>
      <w:r w:rsidR="00633AED" w:rsidRPr="00C80680">
        <w:t xml:space="preserve"> The Kansas </w:t>
      </w:r>
      <w:r w:rsidR="00514E38" w:rsidRPr="00C80680">
        <w:t>c</w:t>
      </w:r>
      <w:r w:rsidR="00633AED" w:rsidRPr="00C80680">
        <w:t xml:space="preserve">ase definition requires that veterans endorse </w:t>
      </w:r>
      <w:r w:rsidR="00813653" w:rsidRPr="00C80680">
        <w:t xml:space="preserve">moderately severe </w:t>
      </w:r>
      <w:r w:rsidR="00633AED" w:rsidRPr="00C80680">
        <w:t xml:space="preserve">symptoms in at least 3 </w:t>
      </w:r>
      <w:r w:rsidR="00514E38" w:rsidRPr="00C80680">
        <w:t xml:space="preserve">out </w:t>
      </w:r>
      <w:r w:rsidR="00633AED" w:rsidRPr="00C80680">
        <w:t xml:space="preserve">of </w:t>
      </w:r>
      <w:r w:rsidR="00514E38" w:rsidRPr="00C80680">
        <w:t>6</w:t>
      </w:r>
      <w:r w:rsidR="00633AED" w:rsidRPr="00C80680">
        <w:t xml:space="preserve"> symptom clusters (</w:t>
      </w:r>
      <w:r w:rsidR="00666101" w:rsidRPr="00C80680">
        <w:t>fatigue/sleep, pain, neurologic/</w:t>
      </w:r>
      <w:r w:rsidR="00514E38" w:rsidRPr="00C80680">
        <w:t>cognitive/</w:t>
      </w:r>
      <w:r w:rsidR="00666101" w:rsidRPr="00C80680">
        <w:t>mood, gastrointestinal, respiratory, and skin)</w:t>
      </w:r>
      <w:r w:rsidR="00514E38" w:rsidRPr="00C80680">
        <w:t xml:space="preserve"> over</w:t>
      </w:r>
      <w:r w:rsidR="00813653" w:rsidRPr="00C80680">
        <w:t xml:space="preserve"> at least the past</w:t>
      </w:r>
      <w:r w:rsidR="00514E38" w:rsidRPr="00C80680">
        <w:t xml:space="preserve"> 6 months </w:t>
      </w:r>
      <w:r w:rsidR="00DF5FA6" w:rsidRPr="00C80680">
        <w:t>[3</w:t>
      </w:r>
      <w:r w:rsidR="005C18A3" w:rsidRPr="00C80680">
        <w:t>4</w:t>
      </w:r>
      <w:r w:rsidR="00DF5FA6" w:rsidRPr="00C80680">
        <w:t>]</w:t>
      </w:r>
      <w:r w:rsidR="00633AED" w:rsidRPr="00C80680">
        <w:t xml:space="preserve">.  </w:t>
      </w:r>
      <w:r w:rsidR="006552C2" w:rsidRPr="00C80680">
        <w:t>The sample included 248</w:t>
      </w:r>
      <w:r w:rsidR="0089130A" w:rsidRPr="00C80680">
        <w:t xml:space="preserve"> </w:t>
      </w:r>
      <w:r w:rsidR="002E6D14" w:rsidRPr="00C80680">
        <w:t>veterans</w:t>
      </w:r>
      <w:r w:rsidR="00345FE8" w:rsidRPr="00C80680">
        <w:t xml:space="preserve"> with GWI</w:t>
      </w:r>
      <w:r w:rsidR="006552C2" w:rsidRPr="00C80680">
        <w:t xml:space="preserve"> aged 42-79 years (M</w:t>
      </w:r>
      <w:r w:rsidR="006552C2" w:rsidRPr="00C80680">
        <w:rPr>
          <w:vertAlign w:val="subscript"/>
        </w:rPr>
        <w:t>age</w:t>
      </w:r>
      <w:r w:rsidR="006552C2" w:rsidRPr="00C80680">
        <w:t>= 5</w:t>
      </w:r>
      <w:r w:rsidR="004A2C3F" w:rsidRPr="00C80680">
        <w:t>2.</w:t>
      </w:r>
      <w:r w:rsidR="00DB5006" w:rsidRPr="00C80680">
        <w:t>86</w:t>
      </w:r>
      <w:r w:rsidR="006552C2" w:rsidRPr="00C80680">
        <w:t xml:space="preserve"> years, </w:t>
      </w:r>
      <w:proofErr w:type="spellStart"/>
      <w:r w:rsidR="006552C2" w:rsidRPr="00C80680">
        <w:t>SD</w:t>
      </w:r>
      <w:r w:rsidR="006552C2" w:rsidRPr="00C80680">
        <w:rPr>
          <w:vertAlign w:val="subscript"/>
        </w:rPr>
        <w:t>age</w:t>
      </w:r>
      <w:proofErr w:type="spellEnd"/>
      <w:r w:rsidR="006552C2" w:rsidRPr="00C80680">
        <w:t xml:space="preserve"> = </w:t>
      </w:r>
      <w:r w:rsidR="00DB5006" w:rsidRPr="00C80680">
        <w:t>7</w:t>
      </w:r>
      <w:r w:rsidR="004A2C3F" w:rsidRPr="00C80680">
        <w:t>.</w:t>
      </w:r>
      <w:r w:rsidR="00DB5006" w:rsidRPr="00C80680">
        <w:t>36</w:t>
      </w:r>
      <w:r w:rsidR="006552C2" w:rsidRPr="00C80680">
        <w:t xml:space="preserve"> years; 218 males, 30 females).  </w:t>
      </w:r>
      <w:r w:rsidR="00DF2464" w:rsidRPr="00C80680">
        <w:t xml:space="preserve">After providing informed </w:t>
      </w:r>
      <w:r w:rsidR="00DF2464" w:rsidRPr="00C80680">
        <w:lastRenderedPageBreak/>
        <w:t>consent, p</w:t>
      </w:r>
      <w:r w:rsidR="00975E36" w:rsidRPr="00C80680">
        <w:t>articipants</w:t>
      </w:r>
      <w:r w:rsidR="00DF2464" w:rsidRPr="00C80680">
        <w:t xml:space="preserve"> </w:t>
      </w:r>
      <w:r w:rsidRPr="00C80680">
        <w:t xml:space="preserve">were provided a questionnaire packet </w:t>
      </w:r>
      <w:r w:rsidR="00345FE8" w:rsidRPr="00C80680">
        <w:t>consisting of demographic questions and measures of illness beliefs, behavioral responses to illness, and disability</w:t>
      </w:r>
      <w:r w:rsidRPr="00C80680">
        <w:t xml:space="preserve">.  </w:t>
      </w:r>
      <w:r w:rsidR="00A051C0" w:rsidRPr="00C80680">
        <w:t>All participants provided consent to be part of this study and to have the data published. The study was reviewed by the Veterans Affairs New Jersey Healthcare System Institutional Review Board, Canandaigua VA Medical Center Institutional Review Board, and Edith Nourse Rogers Memorial VA Hospital Institutional Review Board (IRB Approval # 01484).</w:t>
      </w:r>
      <w:r w:rsidR="0056451F" w:rsidRPr="00C80680">
        <w:t xml:space="preserve">  See Table 1 for summary of descriptive statistics for all study variables. </w:t>
      </w:r>
    </w:p>
    <w:p w14:paraId="0A02D2C7" w14:textId="511274E0" w:rsidR="002A3C47" w:rsidRPr="00C80680" w:rsidRDefault="00345FE8" w:rsidP="00C54C96">
      <w:pPr>
        <w:spacing w:line="480" w:lineRule="auto"/>
        <w:rPr>
          <w:b/>
        </w:rPr>
      </w:pPr>
      <w:r w:rsidRPr="00C80680">
        <w:rPr>
          <w:b/>
        </w:rPr>
        <w:t>Measures</w:t>
      </w:r>
    </w:p>
    <w:p w14:paraId="31512D73" w14:textId="72E418B7" w:rsidR="00DD5C1F" w:rsidRPr="00C80680" w:rsidRDefault="00345FE8" w:rsidP="00C54C96">
      <w:pPr>
        <w:spacing w:line="480" w:lineRule="auto"/>
        <w:ind w:firstLine="720"/>
      </w:pPr>
      <w:r w:rsidRPr="00C80680">
        <w:rPr>
          <w:b/>
        </w:rPr>
        <w:t>Illness beliefs</w:t>
      </w:r>
      <w:r w:rsidR="002A3C47" w:rsidRPr="00C80680">
        <w:rPr>
          <w:i/>
        </w:rPr>
        <w:t xml:space="preserve">. </w:t>
      </w:r>
      <w:r w:rsidRPr="00C80680">
        <w:t>Illness beliefs were assessed with the Illness Perception Questionnaire-Revised (IPQ-R)</w:t>
      </w:r>
      <w:r w:rsidR="00B966E2" w:rsidRPr="00C80680">
        <w:t xml:space="preserve"> [3</w:t>
      </w:r>
      <w:r w:rsidR="005C18A3" w:rsidRPr="00C80680">
        <w:t>5</w:t>
      </w:r>
      <w:r w:rsidR="00B966E2" w:rsidRPr="00C80680">
        <w:t>]</w:t>
      </w:r>
      <w:r w:rsidRPr="00C80680">
        <w:t xml:space="preserve">.  The IPQ-R </w:t>
      </w:r>
      <w:r w:rsidR="00966A63" w:rsidRPr="00C80680">
        <w:t xml:space="preserve">was </w:t>
      </w:r>
      <w:r w:rsidR="007006C8" w:rsidRPr="00C80680">
        <w:t>designed to assess</w:t>
      </w:r>
      <w:r w:rsidR="00063DE6" w:rsidRPr="00C80680">
        <w:t xml:space="preserve"> an</w:t>
      </w:r>
      <w:r w:rsidR="007006C8" w:rsidRPr="00C80680">
        <w:t xml:space="preserve"> individual’s </w:t>
      </w:r>
      <w:r w:rsidR="004A3E5E" w:rsidRPr="00C80680">
        <w:t xml:space="preserve">perceptions about their illness consistent with </w:t>
      </w:r>
      <w:r w:rsidR="007006C8" w:rsidRPr="00C80680">
        <w:t xml:space="preserve">Leventhal’s </w:t>
      </w:r>
      <w:r w:rsidR="00E0074F" w:rsidRPr="00C80680">
        <w:t xml:space="preserve">Commonsense Model of </w:t>
      </w:r>
      <w:r w:rsidR="00232E4C" w:rsidRPr="00C80680">
        <w:t>Self-R</w:t>
      </w:r>
      <w:r w:rsidR="007006C8" w:rsidRPr="00C80680">
        <w:t>egulat</w:t>
      </w:r>
      <w:r w:rsidR="00E0074F" w:rsidRPr="00C80680">
        <w:t xml:space="preserve">ion. </w:t>
      </w:r>
      <w:r w:rsidR="007006C8" w:rsidRPr="00C80680">
        <w:t>The questions were</w:t>
      </w:r>
      <w:r w:rsidRPr="00C80680">
        <w:t xml:space="preserve"> </w:t>
      </w:r>
      <w:r w:rsidR="009A3C8E" w:rsidRPr="00C80680">
        <w:t>adapted</w:t>
      </w:r>
      <w:r w:rsidRPr="00C80680">
        <w:t xml:space="preserve"> to be specific to G</w:t>
      </w:r>
      <w:r w:rsidR="00C0030D" w:rsidRPr="00C80680">
        <w:t>WI</w:t>
      </w:r>
      <w:r w:rsidR="00106370" w:rsidRPr="00C80680">
        <w:t xml:space="preserve"> (e.g., </w:t>
      </w:r>
      <w:r w:rsidR="00411542" w:rsidRPr="00C80680">
        <w:t>‘My GWI has major consequences on my life’</w:t>
      </w:r>
      <w:r w:rsidR="00106370" w:rsidRPr="00C80680">
        <w:t>)</w:t>
      </w:r>
      <w:r w:rsidRPr="00C80680">
        <w:t xml:space="preserve">.  </w:t>
      </w:r>
      <w:r w:rsidR="007006C8" w:rsidRPr="00C80680">
        <w:t xml:space="preserve">The following categories of illness beliefs were assessed: </w:t>
      </w:r>
      <w:r w:rsidR="00022913" w:rsidRPr="00C80680">
        <w:t xml:space="preserve">causal beliefs, </w:t>
      </w:r>
      <w:r w:rsidR="007006C8" w:rsidRPr="00C80680">
        <w:t>timeline acute/chronic</w:t>
      </w:r>
      <w:r w:rsidR="00106370" w:rsidRPr="00C80680">
        <w:t xml:space="preserve">, </w:t>
      </w:r>
      <w:r w:rsidR="00411542" w:rsidRPr="00C80680">
        <w:t xml:space="preserve">consequences, personal control, treatment control, illness coherence, and emotional representations. Responses to all items were provided on a </w:t>
      </w:r>
      <w:r w:rsidR="004A3E5E" w:rsidRPr="00C80680">
        <w:t>5-point scale from 0 (strongly disagree) to 4 (strongly agree).  Higher scores on the timeline, consequences, and emotional representations dimensions represent strongly held beliefs about the chronicity of GWI, the negative consequences of GWI, and the negative emotional effects of GWI.  Higher scores on the personal control, treatment control, and coherence dimensions represent strongly held beliefs about the controllability of GWI and a personal understanding of GWI.</w:t>
      </w:r>
      <w:r w:rsidR="00DF19E2" w:rsidRPr="00C80680">
        <w:t xml:space="preserve"> </w:t>
      </w:r>
      <w:r w:rsidR="002A2359" w:rsidRPr="00C80680">
        <w:t xml:space="preserve"> </w:t>
      </w:r>
      <w:r w:rsidR="0037659D" w:rsidRPr="00C80680">
        <w:t xml:space="preserve">Causal beliefs </w:t>
      </w:r>
      <w:r w:rsidR="00CB78CE" w:rsidRPr="00C80680">
        <w:t xml:space="preserve">were </w:t>
      </w:r>
      <w:r w:rsidR="0037659D" w:rsidRPr="00C80680">
        <w:t xml:space="preserve">assessed </w:t>
      </w:r>
      <w:r w:rsidR="00CB78CE" w:rsidRPr="00C80680">
        <w:t>by asking participants how much they agreed on a 5-point scale from 0 (strongly disagree) to 4 (strongly agree) with the following causes of GWI:</w:t>
      </w:r>
      <w:r w:rsidR="0037659D" w:rsidRPr="00C80680">
        <w:t xml:space="preserve"> military deployment-rel</w:t>
      </w:r>
      <w:r w:rsidR="00BE0DA1" w:rsidRPr="00C80680">
        <w:t>ated exposure, psychological/</w:t>
      </w:r>
      <w:r w:rsidR="0037659D" w:rsidRPr="00C80680">
        <w:t>stress, physical</w:t>
      </w:r>
      <w:r w:rsidR="004A7F34" w:rsidRPr="00C80680">
        <w:t xml:space="preserve"> cause</w:t>
      </w:r>
      <w:r w:rsidR="00BE0DA1" w:rsidRPr="00C80680">
        <w:t>s</w:t>
      </w:r>
      <w:r w:rsidR="0037659D" w:rsidRPr="00C80680">
        <w:t>, and behavior</w:t>
      </w:r>
      <w:r w:rsidR="004A7F34" w:rsidRPr="00C80680">
        <w:t>al cause</w:t>
      </w:r>
      <w:r w:rsidR="00BE0DA1" w:rsidRPr="00C80680">
        <w:t>s</w:t>
      </w:r>
      <w:r w:rsidR="0037659D" w:rsidRPr="00C80680">
        <w:t xml:space="preserve"> (e.g., diet, physical </w:t>
      </w:r>
      <w:r w:rsidR="0037659D" w:rsidRPr="00C80680">
        <w:lastRenderedPageBreak/>
        <w:t xml:space="preserve">activity).  </w:t>
      </w:r>
      <w:r w:rsidR="00B4795F" w:rsidRPr="00C80680">
        <w:t>Internal consistency for the measure was high in this study</w:t>
      </w:r>
      <w:r w:rsidR="002A2359" w:rsidRPr="00C80680">
        <w:t>, and Cronbach’s alphas ranged from .79-.90</w:t>
      </w:r>
      <w:r w:rsidR="00D65624" w:rsidRPr="00C80680">
        <w:t xml:space="preserve"> for each subscale</w:t>
      </w:r>
      <w:r w:rsidR="00B4795F" w:rsidRPr="00C80680">
        <w:t xml:space="preserve">.  </w:t>
      </w:r>
      <w:r w:rsidR="004A3E5E" w:rsidRPr="00C80680">
        <w:t xml:space="preserve"> </w:t>
      </w:r>
    </w:p>
    <w:p w14:paraId="1C393F3D" w14:textId="33951998" w:rsidR="009A3C8E" w:rsidRPr="00C80680" w:rsidRDefault="000205E7" w:rsidP="00C54C96">
      <w:pPr>
        <w:spacing w:line="480" w:lineRule="auto"/>
        <w:ind w:firstLine="720"/>
      </w:pPr>
      <w:r w:rsidRPr="00C80680">
        <w:t xml:space="preserve">Consistent with how previous studies have conceptualized illness beliefs </w:t>
      </w:r>
      <w:r w:rsidR="00B966E2" w:rsidRPr="00C80680">
        <w:t>[23]</w:t>
      </w:r>
      <w:r w:rsidRPr="00C80680">
        <w:t>, and f</w:t>
      </w:r>
      <w:r w:rsidR="008A72CA" w:rsidRPr="00C80680">
        <w:t>or ease of interpretation, all threat-related illness beliefs (i.e., beliefs that GWI is chronic, has severe consequences, and is associated with negative emotions) were combined into a single composite score</w:t>
      </w:r>
      <w:r w:rsidR="00955421" w:rsidRPr="00C80680">
        <w:t xml:space="preserve"> (Cronbach’s alpha = .89)</w:t>
      </w:r>
      <w:r w:rsidR="008A72CA" w:rsidRPr="00C80680">
        <w:t>, and all protective illness beliefs (i.e., beliefs that GWI is controllable and makes sense within one’s life) were combined into a single composite score</w:t>
      </w:r>
      <w:r w:rsidR="00955421" w:rsidRPr="00C80680">
        <w:t xml:space="preserve"> (Cronbach’s alpha = .86)</w:t>
      </w:r>
      <w:r w:rsidR="008A72CA" w:rsidRPr="00C80680">
        <w:t xml:space="preserve">.   </w:t>
      </w:r>
    </w:p>
    <w:p w14:paraId="1A69408C" w14:textId="7A03B275" w:rsidR="003422E7" w:rsidRPr="00C54C96" w:rsidRDefault="009A3C8E" w:rsidP="00C54C96">
      <w:pPr>
        <w:spacing w:line="480" w:lineRule="auto"/>
        <w:ind w:firstLine="720"/>
        <w:rPr>
          <w:i/>
        </w:rPr>
      </w:pPr>
      <w:r w:rsidRPr="00C80680">
        <w:rPr>
          <w:b/>
        </w:rPr>
        <w:t>Behavioral responses</w:t>
      </w:r>
      <w:r w:rsidR="002A3C47" w:rsidRPr="00C80680">
        <w:rPr>
          <w:b/>
        </w:rPr>
        <w:t>.</w:t>
      </w:r>
      <w:r w:rsidR="002A3C47" w:rsidRPr="00C80680">
        <w:rPr>
          <w:i/>
        </w:rPr>
        <w:t xml:space="preserve"> </w:t>
      </w:r>
      <w:r w:rsidRPr="00C80680">
        <w:t xml:space="preserve">Behavioral responses to illness were assessed with the </w:t>
      </w:r>
      <w:proofErr w:type="spellStart"/>
      <w:r w:rsidR="00AB6118" w:rsidRPr="00C80680">
        <w:t>Behavioural</w:t>
      </w:r>
      <w:proofErr w:type="spellEnd"/>
      <w:r w:rsidR="00AB6118" w:rsidRPr="00C80680">
        <w:t xml:space="preserve"> Responses to Illne</w:t>
      </w:r>
      <w:r w:rsidR="002B41B3" w:rsidRPr="00C80680">
        <w:t>ss Questionnaire (BRIQ</w:t>
      </w:r>
      <w:r w:rsidR="00AB6118" w:rsidRPr="00C80680">
        <w:t>)</w:t>
      </w:r>
      <w:r w:rsidR="00B966E2" w:rsidRPr="00C80680">
        <w:t xml:space="preserve"> [11]</w:t>
      </w:r>
      <w:r w:rsidR="00AB6118" w:rsidRPr="00C80680">
        <w:t xml:space="preserve">.  </w:t>
      </w:r>
      <w:r w:rsidRPr="00C80680">
        <w:t xml:space="preserve">The BRIQ </w:t>
      </w:r>
      <w:r w:rsidR="008B3B52" w:rsidRPr="00C80680">
        <w:t>is a 19-item questionnaire</w:t>
      </w:r>
      <w:r w:rsidRPr="00C80680">
        <w:t xml:space="preserve"> designed to assess</w:t>
      </w:r>
      <w:r w:rsidR="007006C8" w:rsidRPr="00C80680">
        <w:t xml:space="preserve"> </w:t>
      </w:r>
      <w:r w:rsidR="00AE53C1" w:rsidRPr="00C80680">
        <w:t xml:space="preserve">frequency of </w:t>
      </w:r>
      <w:r w:rsidR="00AB6118" w:rsidRPr="00C80680">
        <w:t>illness behaviors over the past month, and consists of 4 subscales: all-or-nothing behavior</w:t>
      </w:r>
      <w:r w:rsidR="00DD259A" w:rsidRPr="00C80680">
        <w:t xml:space="preserve"> (e.g., </w:t>
      </w:r>
      <w:r w:rsidR="004F2E9A" w:rsidRPr="00C80680">
        <w:t>‘I would overdo things, then need to rest up for a while’</w:t>
      </w:r>
      <w:r w:rsidR="00DD259A" w:rsidRPr="00C80680">
        <w:t>)</w:t>
      </w:r>
      <w:r w:rsidR="00AB6118" w:rsidRPr="00C80680">
        <w:t>, limiting behavior</w:t>
      </w:r>
      <w:r w:rsidR="00DD259A" w:rsidRPr="00C80680">
        <w:t xml:space="preserve"> (e.g., </w:t>
      </w:r>
      <w:r w:rsidR="004F2E9A" w:rsidRPr="00C80680">
        <w:t>‘I would put parts of my life on hold’</w:t>
      </w:r>
      <w:r w:rsidR="00DD259A" w:rsidRPr="00C80680">
        <w:t>)</w:t>
      </w:r>
      <w:r w:rsidR="00AB6118" w:rsidRPr="00C80680">
        <w:t>, emotional support seeking</w:t>
      </w:r>
      <w:r w:rsidR="00DD259A" w:rsidRPr="00C80680">
        <w:t xml:space="preserve"> (e.g., </w:t>
      </w:r>
      <w:r w:rsidR="004F2E9A" w:rsidRPr="00C80680">
        <w:t>‘I would talk to others about how bad I feel’</w:t>
      </w:r>
      <w:r w:rsidR="00DD259A" w:rsidRPr="00C80680">
        <w:t>)</w:t>
      </w:r>
      <w:r w:rsidR="00AB6118" w:rsidRPr="00C80680">
        <w:t>, and practical support seeking</w:t>
      </w:r>
      <w:r w:rsidR="00DD259A" w:rsidRPr="00C80680">
        <w:t xml:space="preserve"> (e.g., </w:t>
      </w:r>
      <w:r w:rsidR="004F2E9A" w:rsidRPr="00C80680">
        <w:t>‘I would ask for help from my family and friends’</w:t>
      </w:r>
      <w:r w:rsidR="00DD259A" w:rsidRPr="00C80680">
        <w:t>)</w:t>
      </w:r>
      <w:r w:rsidR="00AB6118" w:rsidRPr="00C80680">
        <w:t xml:space="preserve">.  </w:t>
      </w:r>
      <w:r w:rsidR="004F2E9A" w:rsidRPr="00C80680">
        <w:t xml:space="preserve">Responses </w:t>
      </w:r>
      <w:r w:rsidR="004F2E9A">
        <w:t>to all items were provided on a 5-point scale from 0 (not at all) to 4 (every day), w</w:t>
      </w:r>
      <w:r w:rsidR="00454DAF">
        <w:t>ith</w:t>
      </w:r>
      <w:r w:rsidR="00AB6118">
        <w:t xml:space="preserve"> higher score</w:t>
      </w:r>
      <w:r w:rsidR="00454DAF">
        <w:t>s</w:t>
      </w:r>
      <w:r w:rsidR="00AB6118">
        <w:t xml:space="preserve"> indicat</w:t>
      </w:r>
      <w:r w:rsidR="004F2E9A">
        <w:t>ing</w:t>
      </w:r>
      <w:r w:rsidR="00454DAF">
        <w:t xml:space="preserve"> that the participant engaged</w:t>
      </w:r>
      <w:r w:rsidR="00AB6118">
        <w:t xml:space="preserve"> in the behavior more frequently.</w:t>
      </w:r>
      <w:r w:rsidR="00B4795F">
        <w:t xml:space="preserve">  Cronbach’s alphas in this study were .85 (all-or-nothing behavior), .60 (limiting behavior), .80 (emotional support seeking), and .85 (practical support seeking).  </w:t>
      </w:r>
      <w:r w:rsidR="00AB6118">
        <w:t xml:space="preserve"> </w:t>
      </w:r>
    </w:p>
    <w:p w14:paraId="3093EC23" w14:textId="7AE23553" w:rsidR="002E6D14" w:rsidRPr="00C54C96" w:rsidRDefault="003422E7" w:rsidP="00C54C96">
      <w:pPr>
        <w:spacing w:line="480" w:lineRule="auto"/>
        <w:ind w:firstLine="720"/>
        <w:rPr>
          <w:i/>
        </w:rPr>
      </w:pPr>
      <w:r w:rsidRPr="00C54C96">
        <w:rPr>
          <w:b/>
        </w:rPr>
        <w:t>Disability</w:t>
      </w:r>
      <w:r w:rsidR="002A3C47" w:rsidRPr="00C54C96">
        <w:rPr>
          <w:b/>
        </w:rPr>
        <w:t>.</w:t>
      </w:r>
      <w:r w:rsidR="002A3C47">
        <w:rPr>
          <w:i/>
        </w:rPr>
        <w:t xml:space="preserve"> </w:t>
      </w:r>
      <w:r>
        <w:t>Disability was assessed with the</w:t>
      </w:r>
      <w:r w:rsidR="00454DAF" w:rsidRPr="00454DAF">
        <w:t xml:space="preserve"> </w:t>
      </w:r>
      <w:r w:rsidR="00454DAF">
        <w:t>World Health Organization Disability Assessment Schedule (WHODAS 2.0)</w:t>
      </w:r>
      <w:r w:rsidR="00B966E2">
        <w:t xml:space="preserve"> [3</w:t>
      </w:r>
      <w:r w:rsidR="00261DD0">
        <w:t>3</w:t>
      </w:r>
      <w:r w:rsidR="00B966E2">
        <w:t>]</w:t>
      </w:r>
      <w:r w:rsidR="00454DAF">
        <w:t xml:space="preserve">.  </w:t>
      </w:r>
      <w:r w:rsidR="006C0B5C">
        <w:t xml:space="preserve">The WHODAS </w:t>
      </w:r>
      <w:r w:rsidR="00966A63">
        <w:t>is a 36-item questionnaire</w:t>
      </w:r>
      <w:r w:rsidR="006C0B5C">
        <w:t xml:space="preserve"> designed to assess disability and functioning across six domains (cognition, mobility, self-care, getting along with others, life activities, and participation).  Participants indicated how much difficulty </w:t>
      </w:r>
      <w:r w:rsidR="006C0B5C">
        <w:lastRenderedPageBreak/>
        <w:t xml:space="preserve">they </w:t>
      </w:r>
      <w:r w:rsidR="009772D6">
        <w:t>experienced</w:t>
      </w:r>
      <w:r w:rsidR="001469B5">
        <w:t xml:space="preserve"> in various domains of functioning.</w:t>
      </w:r>
      <w:r w:rsidR="006C0B5C">
        <w:t xml:space="preserve"> </w:t>
      </w:r>
      <w:r w:rsidR="009772D6">
        <w:t xml:space="preserve"> </w:t>
      </w:r>
      <w:r w:rsidR="00E17B8D">
        <w:t>Responses to all items were provided on a 5-point scale from 0 (no difficulty) to 4 (extreme difficulty), with higher scores indicating greater disability.</w:t>
      </w:r>
      <w:r w:rsidR="001469B5">
        <w:t xml:space="preserve"> </w:t>
      </w:r>
      <w:r w:rsidR="00B4795F">
        <w:t xml:space="preserve">Internal consistency for the measure was high in this </w:t>
      </w:r>
      <w:r w:rsidR="00B4795F" w:rsidRPr="00B4795F">
        <w:t>study (</w:t>
      </w:r>
      <w:r w:rsidR="00B4795F">
        <w:t xml:space="preserve">Cronbach’s </w:t>
      </w:r>
      <w:r w:rsidR="00B4795F" w:rsidRPr="00B4795F">
        <w:t>α</w:t>
      </w:r>
      <w:r w:rsidR="00B4795F">
        <w:t>=.94).</w:t>
      </w:r>
      <w:r w:rsidR="00E17B8D">
        <w:t xml:space="preserve"> </w:t>
      </w:r>
    </w:p>
    <w:p w14:paraId="53AD56B5" w14:textId="77777777" w:rsidR="00B91107" w:rsidRPr="00C54C96" w:rsidRDefault="004706E1" w:rsidP="00C54C96">
      <w:pPr>
        <w:spacing w:line="480" w:lineRule="auto"/>
        <w:rPr>
          <w:b/>
        </w:rPr>
      </w:pPr>
      <w:r w:rsidRPr="00C54C96">
        <w:rPr>
          <w:b/>
        </w:rPr>
        <w:t>Statistical analysis</w:t>
      </w:r>
      <w:r w:rsidR="00E32B47" w:rsidRPr="00C54C96">
        <w:rPr>
          <w:b/>
        </w:rPr>
        <w:t xml:space="preserve"> </w:t>
      </w:r>
    </w:p>
    <w:p w14:paraId="78820416" w14:textId="5324B70C" w:rsidR="00AE3F7A" w:rsidRDefault="00E32B47" w:rsidP="00C54C96">
      <w:pPr>
        <w:spacing w:line="480" w:lineRule="auto"/>
      </w:pPr>
      <w:r>
        <w:t>The study employed a cross-sectional design.  Correlation analyses were first performed to assess the strength of relationships between study variables.  In order to test the mediating effects of behavior on the relationship between illness beliefs and disability, we conducted a mediation analysis using PROCESS</w:t>
      </w:r>
      <w:r w:rsidR="00B966E2">
        <w:t xml:space="preserve"> [3</w:t>
      </w:r>
      <w:r w:rsidR="00261DD0">
        <w:t>6</w:t>
      </w:r>
      <w:r w:rsidR="00B966E2">
        <w:t>]</w:t>
      </w:r>
      <w:r>
        <w:t xml:space="preserve">.  PROCESS is a versatile modelling tool used for mediation and moderation analyses that effectively combines the functions of multiple statistical software instruments to implement the mediation methods that are currently being advocated in the field </w:t>
      </w:r>
      <w:r w:rsidR="00B966E2">
        <w:t>[3</w:t>
      </w:r>
      <w:r w:rsidR="00CF2CF8">
        <w:t>7</w:t>
      </w:r>
      <w:r w:rsidR="00B966E2">
        <w:t>]</w:t>
      </w:r>
      <w:r>
        <w:t>.  Two models were assessed. In the first model</w:t>
      </w:r>
      <w:r w:rsidR="00C32FAF">
        <w:t>, threat-related illness belief</w:t>
      </w:r>
      <w:r>
        <w:t xml:space="preserve"> was the independent variable, disability was the dependent variable, and </w:t>
      </w:r>
      <w:r w:rsidR="00B91107">
        <w:t xml:space="preserve">four behavioral responses to illness </w:t>
      </w:r>
      <w:r w:rsidR="00337F0C">
        <w:t>were included as mediators (all-or-</w:t>
      </w:r>
      <w:r w:rsidR="00B91107">
        <w:t>nothing behavior, limiting behavior, practical support seeking, and emotional support seeking).  In the second m</w:t>
      </w:r>
      <w:r w:rsidR="00C32FAF">
        <w:t>odel, protective illness belief</w:t>
      </w:r>
      <w:r w:rsidR="00B91107">
        <w:t xml:space="preserve"> was the independent variable, disability was the dependent variable, </w:t>
      </w:r>
      <w:r w:rsidR="005F4011">
        <w:t xml:space="preserve">and </w:t>
      </w:r>
      <w:r w:rsidR="00B91107">
        <w:t xml:space="preserve">the four behavioral responses to illness were included as mediators. </w:t>
      </w:r>
      <w:r>
        <w:t xml:space="preserve"> In line with Hayes’ </w:t>
      </w:r>
      <w:r w:rsidR="00851D2F">
        <w:t>[3</w:t>
      </w:r>
      <w:r w:rsidR="00CF2CF8">
        <w:t>6</w:t>
      </w:r>
      <w:r w:rsidR="00851D2F">
        <w:t>]</w:t>
      </w:r>
      <w:r>
        <w:t xml:space="preserve"> reporting recommendations, bias-corrected bootstrap confidence intervals are reported below for inferential tests of indirect effects (number of bootstrap samples = 5000).  </w:t>
      </w:r>
    </w:p>
    <w:p w14:paraId="0B663720" w14:textId="67871EBA" w:rsidR="002E6D14" w:rsidRPr="00C54C96" w:rsidRDefault="006552C2" w:rsidP="00C54C96">
      <w:pPr>
        <w:spacing w:line="480" w:lineRule="auto"/>
        <w:jc w:val="center"/>
        <w:rPr>
          <w:b/>
        </w:rPr>
      </w:pPr>
      <w:r w:rsidRPr="00C54C96">
        <w:rPr>
          <w:b/>
        </w:rPr>
        <w:t>Results</w:t>
      </w:r>
    </w:p>
    <w:p w14:paraId="58F6CBDA" w14:textId="4B3D30FF" w:rsidR="00F13312" w:rsidRPr="00C54C96" w:rsidRDefault="00F13312" w:rsidP="00C54C96">
      <w:pPr>
        <w:spacing w:line="480" w:lineRule="auto"/>
        <w:rPr>
          <w:b/>
        </w:rPr>
      </w:pPr>
      <w:r w:rsidRPr="00C54C96">
        <w:rPr>
          <w:b/>
        </w:rPr>
        <w:t xml:space="preserve">Correlations </w:t>
      </w:r>
    </w:p>
    <w:p w14:paraId="591DA7ED" w14:textId="428F37FA" w:rsidR="006C69AF" w:rsidRDefault="00022913" w:rsidP="00C54C96">
      <w:pPr>
        <w:spacing w:line="480" w:lineRule="auto"/>
      </w:pPr>
      <w:r>
        <w:t xml:space="preserve">Correlations </w:t>
      </w:r>
      <w:r w:rsidR="00337F0C">
        <w:t xml:space="preserve">showed that </w:t>
      </w:r>
      <w:r w:rsidR="005F6832">
        <w:t xml:space="preserve">threat-related illness beliefs </w:t>
      </w:r>
      <w:r w:rsidR="005F6832" w:rsidRPr="00337F0C">
        <w:t>(i.e., beliefs that GWI is chronic, has severe consequences, and is associated with negative emotions)</w:t>
      </w:r>
      <w:r w:rsidR="005F6832">
        <w:t xml:space="preserve"> were positively related to all four behavioral responses to illness, whereas protective illness beliefs </w:t>
      </w:r>
      <w:r w:rsidR="005F6832" w:rsidRPr="00337F0C">
        <w:t xml:space="preserve">(i.e., beliefs that GWI is </w:t>
      </w:r>
      <w:r w:rsidR="005F6832" w:rsidRPr="00337F0C">
        <w:lastRenderedPageBreak/>
        <w:t xml:space="preserve">controllable and makes sense within one’s life) </w:t>
      </w:r>
      <w:r w:rsidR="005F6832">
        <w:t>were negatively correlated with all-or-nothing behavior and limiting behavior.  G</w:t>
      </w:r>
      <w:r w:rsidR="00DD5C1F">
        <w:t>reater all-or-nothing behavior, limiting behavior, practical support and emotional support seeking were each associated with worse disability. G</w:t>
      </w:r>
      <w:r w:rsidR="00337F0C" w:rsidRPr="00337F0C">
        <w:t xml:space="preserve">reater threat-related illness beliefs </w:t>
      </w:r>
      <w:r w:rsidR="00337F0C">
        <w:t>were</w:t>
      </w:r>
      <w:r w:rsidR="00337F0C" w:rsidRPr="00337F0C">
        <w:t xml:space="preserve"> associated with worse disability, and greater protective illness beliefs </w:t>
      </w:r>
      <w:r w:rsidR="00337F0C">
        <w:t>were</w:t>
      </w:r>
      <w:r w:rsidR="00337F0C" w:rsidRPr="00337F0C">
        <w:t xml:space="preserve"> associated with less disability. </w:t>
      </w:r>
      <w:r w:rsidR="00E0074F">
        <w:t>C</w:t>
      </w:r>
      <w:r w:rsidR="00B0182A">
        <w:t xml:space="preserve">ausal beliefs about </w:t>
      </w:r>
      <w:r w:rsidR="007D7257">
        <w:t xml:space="preserve">GWI were not significantly correlated with disability, </w:t>
      </w:r>
      <w:proofErr w:type="gramStart"/>
      <w:r w:rsidR="007D7257">
        <w:t>with the exception of</w:t>
      </w:r>
      <w:proofErr w:type="gramEnd"/>
      <w:r w:rsidR="007D7257">
        <w:t xml:space="preserve"> a small positive correlation between </w:t>
      </w:r>
      <w:r w:rsidR="00E0074F">
        <w:t>greater</w:t>
      </w:r>
      <w:r w:rsidR="007D7257">
        <w:t xml:space="preserve"> belief that GWI </w:t>
      </w:r>
      <w:r w:rsidR="006F29BC">
        <w:t>has a psychological cause</w:t>
      </w:r>
      <w:r w:rsidR="00E0074F">
        <w:t xml:space="preserve"> and worse disability</w:t>
      </w:r>
      <w:r w:rsidR="007D7257">
        <w:t xml:space="preserve">.  Therefore, causal beliefs were not included in the larger mediation analysis. </w:t>
      </w:r>
      <w:r w:rsidR="00E0074F">
        <w:t xml:space="preserve">Bivariate correlations are included in Table 1.  </w:t>
      </w:r>
    </w:p>
    <w:p w14:paraId="3871D06D" w14:textId="6E06A6E1" w:rsidR="00F13312" w:rsidRPr="00C54C96" w:rsidRDefault="00C54C96" w:rsidP="00C54C96">
      <w:pPr>
        <w:spacing w:line="480" w:lineRule="auto"/>
        <w:rPr>
          <w:b/>
        </w:rPr>
      </w:pPr>
      <w:r>
        <w:rPr>
          <w:b/>
        </w:rPr>
        <w:t>Mediation</w:t>
      </w:r>
    </w:p>
    <w:p w14:paraId="2C5595C0" w14:textId="2090F73D" w:rsidR="00F13312" w:rsidRPr="00C80680" w:rsidRDefault="00E32B47" w:rsidP="00C54C96">
      <w:pPr>
        <w:spacing w:line="480" w:lineRule="auto"/>
      </w:pPr>
      <w:r>
        <w:t xml:space="preserve">To determine whether behavioral responses to illness mediate the relationship between illness beliefs and disability, mediation analyses were performed.  </w:t>
      </w:r>
      <w:r w:rsidR="00E0074F">
        <w:t xml:space="preserve">The first model included threat-related beliefs and the four behavioral responses and significantly predicted disability </w:t>
      </w:r>
      <w:proofErr w:type="gramStart"/>
      <w:r w:rsidR="00E0074F">
        <w:t>F(</w:t>
      </w:r>
      <w:proofErr w:type="gramEnd"/>
      <w:r w:rsidR="00E0074F">
        <w:t>1, 246) = 163.85</w:t>
      </w:r>
      <w:r w:rsidR="00E0074F" w:rsidRPr="00C80680">
        <w:t>, p&lt;.01, R</w:t>
      </w:r>
      <w:r w:rsidR="00E0074F" w:rsidRPr="00C80680">
        <w:rPr>
          <w:vertAlign w:val="superscript"/>
        </w:rPr>
        <w:t>2</w:t>
      </w:r>
      <w:r w:rsidR="00FC741C" w:rsidRPr="00C80680">
        <w:t xml:space="preserve">=.40. </w:t>
      </w:r>
      <w:r w:rsidR="00647713" w:rsidRPr="00C80680">
        <w:t>There was a direct effect of greater threat</w:t>
      </w:r>
      <w:r w:rsidR="003159A6" w:rsidRPr="00C80680">
        <w:t>-</w:t>
      </w:r>
      <w:r w:rsidR="00647713" w:rsidRPr="00C80680">
        <w:t>related beliefs on greater disability (</w:t>
      </w:r>
      <w:r w:rsidR="00647713" w:rsidRPr="00C80680">
        <w:rPr>
          <w:i/>
        </w:rPr>
        <w:t>B</w:t>
      </w:r>
      <w:r w:rsidR="00647713" w:rsidRPr="00C80680">
        <w:t>=2.11</w:t>
      </w:r>
      <w:r w:rsidR="006E7D2D" w:rsidRPr="00C80680">
        <w:t>, 95% CI</w:t>
      </w:r>
      <w:r w:rsidR="00647713" w:rsidRPr="00C80680">
        <w:t xml:space="preserve"> </w:t>
      </w:r>
      <w:r w:rsidR="006E7D2D" w:rsidRPr="00C80680">
        <w:t>[</w:t>
      </w:r>
      <w:r w:rsidR="00647713" w:rsidRPr="00C80680">
        <w:t>1.58, 2.63</w:t>
      </w:r>
      <w:r w:rsidR="006E7D2D" w:rsidRPr="00C80680">
        <w:t>]</w:t>
      </w:r>
      <w:r w:rsidR="00647713" w:rsidRPr="00C80680">
        <w:t xml:space="preserve">, t=7.94, p&lt;.01). </w:t>
      </w:r>
      <w:r w:rsidR="00982F82" w:rsidRPr="00C80680">
        <w:t>There was a</w:t>
      </w:r>
      <w:r w:rsidR="00647713" w:rsidRPr="00C80680">
        <w:t>lso</w:t>
      </w:r>
      <w:r w:rsidR="00982F82" w:rsidRPr="00C80680">
        <w:t xml:space="preserve"> </w:t>
      </w:r>
      <w:r w:rsidR="00647713" w:rsidRPr="00C80680">
        <w:t xml:space="preserve">a </w:t>
      </w:r>
      <w:r w:rsidR="00982F82" w:rsidRPr="00C80680">
        <w:t>direct effect of greater limiting behavior (</w:t>
      </w:r>
      <w:r w:rsidR="00982F82" w:rsidRPr="00C80680">
        <w:rPr>
          <w:i/>
        </w:rPr>
        <w:t>B</w:t>
      </w:r>
      <w:r w:rsidR="00337F0C" w:rsidRPr="00C80680">
        <w:t>=8.47, p&lt;.001), all-or-</w:t>
      </w:r>
      <w:r w:rsidR="00982F82" w:rsidRPr="00C80680">
        <w:t>nothing behavior (</w:t>
      </w:r>
      <w:r w:rsidR="00982F82" w:rsidRPr="00C80680">
        <w:rPr>
          <w:i/>
        </w:rPr>
        <w:t>B</w:t>
      </w:r>
      <w:r w:rsidR="00982F82" w:rsidRPr="00C80680">
        <w:t>=2.44, p=.03) and practical support seeking (</w:t>
      </w:r>
      <w:r w:rsidR="00982F82" w:rsidRPr="00C80680">
        <w:rPr>
          <w:i/>
        </w:rPr>
        <w:t>B</w:t>
      </w:r>
      <w:r w:rsidR="00982F82" w:rsidRPr="00C80680">
        <w:t xml:space="preserve">=2.68, p=.01) on greater disability. </w:t>
      </w:r>
      <w:r w:rsidR="00647713" w:rsidRPr="00C80680">
        <w:t>The</w:t>
      </w:r>
      <w:r w:rsidR="00F16415" w:rsidRPr="00C80680">
        <w:t xml:space="preserve"> relationship </w:t>
      </w:r>
      <w:r w:rsidR="00647713" w:rsidRPr="00C80680">
        <w:t xml:space="preserve">between threat-related illness belief and disability </w:t>
      </w:r>
      <w:r w:rsidR="00F16415" w:rsidRPr="00C80680">
        <w:t xml:space="preserve">was </w:t>
      </w:r>
      <w:r w:rsidR="00E0074F" w:rsidRPr="00C80680">
        <w:t xml:space="preserve">mediated by greater </w:t>
      </w:r>
      <w:r w:rsidR="003E1E25" w:rsidRPr="00C80680">
        <w:t xml:space="preserve">limiting behaviors </w:t>
      </w:r>
      <w:r w:rsidR="00F16415" w:rsidRPr="00C80680">
        <w:rPr>
          <w:i/>
        </w:rPr>
        <w:t>B</w:t>
      </w:r>
      <w:r w:rsidR="00F16415" w:rsidRPr="00C80680">
        <w:t>=.71</w:t>
      </w:r>
      <w:r w:rsidR="006E7D2D" w:rsidRPr="00C80680">
        <w:t>, 95% CI</w:t>
      </w:r>
      <w:r w:rsidR="00F16415" w:rsidRPr="00C80680">
        <w:t xml:space="preserve"> </w:t>
      </w:r>
      <w:r w:rsidR="006E7D2D" w:rsidRPr="00C80680">
        <w:t>[</w:t>
      </w:r>
      <w:r w:rsidR="00F16415" w:rsidRPr="00C80680">
        <w:t>.46, 1.02</w:t>
      </w:r>
      <w:r w:rsidR="006E7D2D" w:rsidRPr="00C80680">
        <w:t>]</w:t>
      </w:r>
      <w:r w:rsidR="00F16415" w:rsidRPr="00C80680">
        <w:t xml:space="preserve"> </w:t>
      </w:r>
      <w:r w:rsidR="003E1E25" w:rsidRPr="00C80680">
        <w:t xml:space="preserve">and </w:t>
      </w:r>
      <w:r w:rsidR="00E0074F" w:rsidRPr="00C80680">
        <w:t xml:space="preserve">greater </w:t>
      </w:r>
      <w:r w:rsidR="003E1E25" w:rsidRPr="00C80680">
        <w:t xml:space="preserve">practical support seeking behaviors </w:t>
      </w:r>
      <w:r w:rsidR="00F16415" w:rsidRPr="00C80680">
        <w:rPr>
          <w:i/>
        </w:rPr>
        <w:t>B</w:t>
      </w:r>
      <w:r w:rsidR="00F16415" w:rsidRPr="00C80680">
        <w:t>=.16</w:t>
      </w:r>
      <w:r w:rsidR="006E7D2D" w:rsidRPr="00C80680">
        <w:t>, 95% CI</w:t>
      </w:r>
      <w:r w:rsidR="00F16415" w:rsidRPr="00C80680">
        <w:t xml:space="preserve"> </w:t>
      </w:r>
      <w:r w:rsidR="006E7D2D" w:rsidRPr="00C80680">
        <w:t>[</w:t>
      </w:r>
      <w:r w:rsidR="00F16415" w:rsidRPr="00C80680">
        <w:t>.03, .35</w:t>
      </w:r>
      <w:bookmarkStart w:id="3" w:name="_Hlk529357101"/>
      <w:r w:rsidR="006E7D2D" w:rsidRPr="00C80680">
        <w:t>]</w:t>
      </w:r>
      <w:r w:rsidR="0050721B" w:rsidRPr="00C80680">
        <w:t xml:space="preserve">; </w:t>
      </w:r>
      <w:r w:rsidR="00F16415" w:rsidRPr="00C80680">
        <w:t>A</w:t>
      </w:r>
      <w:r w:rsidR="003E1E25" w:rsidRPr="00C80680">
        <w:t xml:space="preserve">ll-or-nothing </w:t>
      </w:r>
      <w:r w:rsidR="006D4DD5" w:rsidRPr="00C80680">
        <w:t xml:space="preserve">behavior: </w:t>
      </w:r>
      <w:r w:rsidR="006D4DD5" w:rsidRPr="00C80680">
        <w:rPr>
          <w:i/>
        </w:rPr>
        <w:t>B</w:t>
      </w:r>
      <w:r w:rsidR="006D4DD5" w:rsidRPr="00C80680">
        <w:t>=.23</w:t>
      </w:r>
      <w:r w:rsidR="006E7D2D" w:rsidRPr="00C80680">
        <w:t>, 95% CI</w:t>
      </w:r>
      <w:r w:rsidR="0050721B" w:rsidRPr="00C80680">
        <w:t xml:space="preserve"> </w:t>
      </w:r>
      <w:r w:rsidR="006E7D2D" w:rsidRPr="00C80680">
        <w:t>[</w:t>
      </w:r>
      <w:r w:rsidR="0050721B" w:rsidRPr="00C80680">
        <w:t>-.01, .50</w:t>
      </w:r>
      <w:r w:rsidR="006E7D2D" w:rsidRPr="00C80680">
        <w:t>]</w:t>
      </w:r>
      <w:r w:rsidR="001E11E5" w:rsidRPr="00C80680">
        <w:t xml:space="preserve"> </w:t>
      </w:r>
      <w:r w:rsidR="00F16415" w:rsidRPr="00C80680">
        <w:t>and</w:t>
      </w:r>
      <w:r w:rsidR="006D4DD5" w:rsidRPr="00C80680">
        <w:t xml:space="preserve"> emotional support seeking behavior: </w:t>
      </w:r>
      <w:r w:rsidR="0050721B" w:rsidRPr="00C80680">
        <w:rPr>
          <w:i/>
        </w:rPr>
        <w:t>B</w:t>
      </w:r>
      <w:r w:rsidR="006D4DD5" w:rsidRPr="00C80680">
        <w:t>= -.01</w:t>
      </w:r>
      <w:r w:rsidR="006E7D2D" w:rsidRPr="00C80680">
        <w:t>, 95% CI</w:t>
      </w:r>
      <w:r w:rsidR="006D4DD5" w:rsidRPr="00C80680">
        <w:t xml:space="preserve"> </w:t>
      </w:r>
      <w:r w:rsidR="006E7D2D" w:rsidRPr="00C80680">
        <w:t>[</w:t>
      </w:r>
      <w:r w:rsidR="006D4DD5" w:rsidRPr="00C80680">
        <w:t>-.1</w:t>
      </w:r>
      <w:r w:rsidR="0050721B" w:rsidRPr="00C80680">
        <w:t>6, .14</w:t>
      </w:r>
      <w:r w:rsidR="006E7D2D" w:rsidRPr="00C80680">
        <w:t>]</w:t>
      </w:r>
      <w:r w:rsidR="00F16415" w:rsidRPr="00C80680">
        <w:t xml:space="preserve"> did not mediat</w:t>
      </w:r>
      <w:r w:rsidR="00647713" w:rsidRPr="00C80680">
        <w:t>e this relationship</w:t>
      </w:r>
      <w:r w:rsidR="00F16415" w:rsidRPr="00C80680">
        <w:t>.</w:t>
      </w:r>
      <w:r w:rsidR="006D4DD5" w:rsidRPr="00C80680">
        <w:t xml:space="preserve"> </w:t>
      </w:r>
      <w:bookmarkEnd w:id="3"/>
      <w:r w:rsidR="003F6BF6" w:rsidRPr="00C80680">
        <w:t xml:space="preserve"> </w:t>
      </w:r>
      <w:r w:rsidR="00F13312" w:rsidRPr="00C80680">
        <w:t>In other words,</w:t>
      </w:r>
      <w:r w:rsidR="003F6BF6" w:rsidRPr="00C80680">
        <w:t xml:space="preserve"> </w:t>
      </w:r>
      <w:r w:rsidR="00F16415" w:rsidRPr="00C80680">
        <w:t>p</w:t>
      </w:r>
      <w:r w:rsidR="000056B4" w:rsidRPr="00C80680">
        <w:t xml:space="preserve">articipants who held stronger beliefs that GWI is chronic, has severe consequences, and is associated with negative emotions were more likely to limit their behaviors and rely on others for practical support, which in turn was associated with more disability. </w:t>
      </w:r>
      <w:r w:rsidR="00B0499D" w:rsidRPr="00C80680">
        <w:t xml:space="preserve"> </w:t>
      </w:r>
      <w:r w:rsidR="00F16415" w:rsidRPr="00C80680">
        <w:t>T</w:t>
      </w:r>
      <w:r w:rsidR="00B0499D" w:rsidRPr="00C80680">
        <w:t xml:space="preserve">hreat-related illness beliefs continued to be directly related to </w:t>
      </w:r>
      <w:r w:rsidR="00B0499D" w:rsidRPr="00C80680">
        <w:lastRenderedPageBreak/>
        <w:t>greater disability independent of its effect on behavior</w:t>
      </w:r>
      <w:r w:rsidR="00E17797" w:rsidRPr="00C80680">
        <w:t xml:space="preserve"> (see Fig. 1)</w:t>
      </w:r>
      <w:r w:rsidR="00B0499D" w:rsidRPr="00C80680">
        <w:t xml:space="preserve">. </w:t>
      </w:r>
      <w:r w:rsidR="00F35B98" w:rsidRPr="00C80680">
        <w:t xml:space="preserve"> Of note, when age was included as a covariate in the model, the direct effect of all-or-nothing behavior </w:t>
      </w:r>
      <w:r w:rsidR="00DA4595" w:rsidRPr="00C80680">
        <w:t xml:space="preserve">on disability </w:t>
      </w:r>
      <w:r w:rsidR="00F35B98" w:rsidRPr="00C80680">
        <w:t xml:space="preserve">trended towards significance </w:t>
      </w:r>
      <w:r w:rsidR="006B1F9A" w:rsidRPr="00C80680">
        <w:t>(B=2.22, p=.05</w:t>
      </w:r>
      <w:r w:rsidR="00F35B98" w:rsidRPr="00C80680">
        <w:t xml:space="preserve">), </w:t>
      </w:r>
      <w:r w:rsidR="00DA4595" w:rsidRPr="00C80680">
        <w:t>but</w:t>
      </w:r>
      <w:r w:rsidR="00F35B98" w:rsidRPr="00C80680">
        <w:t xml:space="preserve"> there were no other qualitative differences</w:t>
      </w:r>
      <w:r w:rsidR="00F17671" w:rsidRPr="00C80680">
        <w:t xml:space="preserve"> (results available upon request)</w:t>
      </w:r>
      <w:r w:rsidR="00F35B98" w:rsidRPr="00C80680">
        <w:t xml:space="preserve">. </w:t>
      </w:r>
    </w:p>
    <w:p w14:paraId="2F5BE8C8" w14:textId="7469AE82" w:rsidR="00EC7D33" w:rsidRPr="00C80680" w:rsidRDefault="00A718B2" w:rsidP="00C54C96">
      <w:pPr>
        <w:spacing w:line="480" w:lineRule="auto"/>
        <w:ind w:firstLine="720"/>
      </w:pPr>
      <w:r w:rsidRPr="00C80680">
        <w:t xml:space="preserve">The second model included protective illness beliefs and the four behavioral responses and significantly predicted disability </w:t>
      </w:r>
      <w:proofErr w:type="gramStart"/>
      <w:r w:rsidRPr="00C80680">
        <w:t>F(</w:t>
      </w:r>
      <w:proofErr w:type="gramEnd"/>
      <w:r w:rsidRPr="00C80680">
        <w:t>1, 246) = 20.61, p&lt;.01, R</w:t>
      </w:r>
      <w:r w:rsidRPr="00C80680">
        <w:rPr>
          <w:vertAlign w:val="superscript"/>
        </w:rPr>
        <w:t>2</w:t>
      </w:r>
      <w:r w:rsidRPr="00C80680">
        <w:t xml:space="preserve">=.08.  </w:t>
      </w:r>
      <w:r w:rsidR="00647713" w:rsidRPr="00C80680">
        <w:t>There was a direct effect of greater protective illness beliefs on less disability (</w:t>
      </w:r>
      <w:r w:rsidR="00647713" w:rsidRPr="00C80680">
        <w:rPr>
          <w:i/>
        </w:rPr>
        <w:t>B</w:t>
      </w:r>
      <w:r w:rsidR="00647713" w:rsidRPr="00C80680">
        <w:t xml:space="preserve">= -.67, </w:t>
      </w:r>
      <w:r w:rsidR="00F54B49" w:rsidRPr="00C80680">
        <w:t>95% CI [</w:t>
      </w:r>
      <w:r w:rsidR="00647713" w:rsidRPr="00C80680">
        <w:t>-1.17, -.18</w:t>
      </w:r>
      <w:r w:rsidR="00F54B49" w:rsidRPr="00C80680">
        <w:t>]</w:t>
      </w:r>
      <w:r w:rsidR="00647713" w:rsidRPr="00C80680">
        <w:t xml:space="preserve">, t= -2.68, p=.01). </w:t>
      </w:r>
      <w:r w:rsidR="00982F82" w:rsidRPr="00C80680">
        <w:t>There was a</w:t>
      </w:r>
      <w:r w:rsidR="00647713" w:rsidRPr="00C80680">
        <w:t>lso a</w:t>
      </w:r>
      <w:r w:rsidR="00982F82" w:rsidRPr="00C80680">
        <w:t xml:space="preserve"> direct effect of greater limiting behavior (</w:t>
      </w:r>
      <w:r w:rsidR="00982F82" w:rsidRPr="00C80680">
        <w:rPr>
          <w:i/>
        </w:rPr>
        <w:t>B</w:t>
      </w:r>
      <w:r w:rsidR="00337F0C" w:rsidRPr="00C80680">
        <w:t>=11.15, p&lt;.001), all-or-</w:t>
      </w:r>
      <w:r w:rsidR="00982F82" w:rsidRPr="00C80680">
        <w:t>nothing behavior (</w:t>
      </w:r>
      <w:r w:rsidR="00982F82" w:rsidRPr="00C80680">
        <w:rPr>
          <w:i/>
        </w:rPr>
        <w:t>B</w:t>
      </w:r>
      <w:r w:rsidR="00982F82" w:rsidRPr="00C80680">
        <w:t>=4.90, p&lt;.001), and practical support seeking (</w:t>
      </w:r>
      <w:r w:rsidR="00982F82" w:rsidRPr="00C80680">
        <w:rPr>
          <w:i/>
        </w:rPr>
        <w:t>B</w:t>
      </w:r>
      <w:r w:rsidR="00982F82" w:rsidRPr="00C80680">
        <w:t xml:space="preserve">=2.76, p = .02) on greater disability.  </w:t>
      </w:r>
      <w:r w:rsidR="00647713" w:rsidRPr="00C80680">
        <w:t xml:space="preserve">  The relationship between protective illness belief and disability</w:t>
      </w:r>
      <w:r w:rsidRPr="00C80680">
        <w:t xml:space="preserve"> was mediated by less all-or-nothing behaviors </w:t>
      </w:r>
      <w:r w:rsidRPr="00C80680">
        <w:rPr>
          <w:i/>
        </w:rPr>
        <w:t>B</w:t>
      </w:r>
      <w:r w:rsidRPr="00C80680">
        <w:t>= -.22</w:t>
      </w:r>
      <w:r w:rsidR="00F54B49" w:rsidRPr="00C80680">
        <w:t>, 95% CI</w:t>
      </w:r>
      <w:r w:rsidRPr="00C80680">
        <w:t xml:space="preserve"> </w:t>
      </w:r>
      <w:r w:rsidR="00F54B49" w:rsidRPr="00C80680">
        <w:t>[</w:t>
      </w:r>
      <w:r w:rsidRPr="00C80680">
        <w:t>-.45, -.08</w:t>
      </w:r>
      <w:r w:rsidR="00F54B49" w:rsidRPr="00C80680">
        <w:t>]</w:t>
      </w:r>
      <w:r w:rsidRPr="00C80680">
        <w:t xml:space="preserve"> and less limiting behaviors </w:t>
      </w:r>
      <w:r w:rsidRPr="00C80680">
        <w:rPr>
          <w:i/>
        </w:rPr>
        <w:t>B</w:t>
      </w:r>
      <w:r w:rsidRPr="00C80680">
        <w:t>= -.44</w:t>
      </w:r>
      <w:r w:rsidR="00F54B49" w:rsidRPr="00C80680">
        <w:t>, 95% CI</w:t>
      </w:r>
      <w:r w:rsidRPr="00C80680">
        <w:t xml:space="preserve"> </w:t>
      </w:r>
      <w:r w:rsidR="00F54B49" w:rsidRPr="00C80680">
        <w:t>[</w:t>
      </w:r>
      <w:r w:rsidRPr="00C80680">
        <w:t>-.79, -.14</w:t>
      </w:r>
      <w:r w:rsidR="00F54B49" w:rsidRPr="00C80680">
        <w:t>]</w:t>
      </w:r>
      <w:r w:rsidRPr="00C80680">
        <w:t xml:space="preserve">.  Practical support seeking: </w:t>
      </w:r>
      <w:r w:rsidRPr="00C80680">
        <w:rPr>
          <w:i/>
        </w:rPr>
        <w:t>B</w:t>
      </w:r>
      <w:r w:rsidRPr="00C80680">
        <w:t>= -.04</w:t>
      </w:r>
      <w:r w:rsidR="00F54B49" w:rsidRPr="00C80680">
        <w:t>, 95% CI</w:t>
      </w:r>
      <w:r w:rsidRPr="00C80680">
        <w:t xml:space="preserve"> </w:t>
      </w:r>
      <w:r w:rsidR="00F54B49" w:rsidRPr="00C80680">
        <w:t>[</w:t>
      </w:r>
      <w:r w:rsidRPr="00C80680">
        <w:t>-.16, .02</w:t>
      </w:r>
      <w:r w:rsidR="00F54B49" w:rsidRPr="00C80680">
        <w:t>]</w:t>
      </w:r>
      <w:r w:rsidRPr="00C80680">
        <w:t xml:space="preserve"> and emotional support seeking:</w:t>
      </w:r>
      <w:r w:rsidRPr="00C80680">
        <w:rPr>
          <w:i/>
        </w:rPr>
        <w:t xml:space="preserve"> B</w:t>
      </w:r>
      <w:r w:rsidRPr="00C80680">
        <w:t>= -.03</w:t>
      </w:r>
      <w:r w:rsidR="00F54B49" w:rsidRPr="00C80680">
        <w:t>, 95% CI</w:t>
      </w:r>
      <w:r w:rsidRPr="00C80680">
        <w:t xml:space="preserve"> </w:t>
      </w:r>
      <w:r w:rsidR="00F54B49" w:rsidRPr="00C80680">
        <w:t>[</w:t>
      </w:r>
      <w:r w:rsidRPr="00C80680">
        <w:t>-.15, .02</w:t>
      </w:r>
      <w:r w:rsidR="00F54B49" w:rsidRPr="00C80680">
        <w:t>]</w:t>
      </w:r>
      <w:r w:rsidRPr="00C80680">
        <w:t xml:space="preserve"> did not mediate the relationship between protective illness beliefs and disability. </w:t>
      </w:r>
      <w:r w:rsidR="005A2FE4" w:rsidRPr="00C80680">
        <w:t xml:space="preserve">In other words, </w:t>
      </w:r>
      <w:r w:rsidRPr="00C80680">
        <w:t>p</w:t>
      </w:r>
      <w:r w:rsidR="00A339E1" w:rsidRPr="00C80680">
        <w:t xml:space="preserve">articipants who held stronger beliefs that GWI is controllable and makes sense within their life were less likely to engage in all-or-nothing and limiting behaviors, which in turn was associated with less disability.  </w:t>
      </w:r>
      <w:r w:rsidRPr="00C80680">
        <w:t>P</w:t>
      </w:r>
      <w:r w:rsidR="005A2FE4" w:rsidRPr="00C80680">
        <w:t>rotective illness beliefs continued to be directly related to less disability independent of its effect on behavior</w:t>
      </w:r>
      <w:r w:rsidR="00E17797" w:rsidRPr="00C80680">
        <w:t xml:space="preserve"> (see Fig. 2)</w:t>
      </w:r>
      <w:r w:rsidR="005A2FE4" w:rsidRPr="00C80680">
        <w:t xml:space="preserve">.  </w:t>
      </w:r>
      <w:r w:rsidR="00F35B98" w:rsidRPr="00C80680">
        <w:t xml:space="preserve">Of note, including age as a covariate in the model did not qualitatively affect the </w:t>
      </w:r>
      <w:r w:rsidR="00DA4595" w:rsidRPr="00C80680">
        <w:t>mediation results</w:t>
      </w:r>
      <w:r w:rsidR="00F17671" w:rsidRPr="00C80680">
        <w:t xml:space="preserve"> (results available upon request)</w:t>
      </w:r>
      <w:r w:rsidR="00DA4595" w:rsidRPr="00C80680">
        <w:t xml:space="preserve">. </w:t>
      </w:r>
      <w:r w:rsidR="00F35B98" w:rsidRPr="00C80680">
        <w:t xml:space="preserve">  </w:t>
      </w:r>
    </w:p>
    <w:p w14:paraId="0F270160" w14:textId="0DB0AD2C" w:rsidR="00977C7F" w:rsidRPr="00C80680" w:rsidRDefault="00977C7F" w:rsidP="00C54C96">
      <w:pPr>
        <w:spacing w:line="480" w:lineRule="auto"/>
        <w:jc w:val="center"/>
        <w:rPr>
          <w:b/>
        </w:rPr>
      </w:pPr>
      <w:r w:rsidRPr="00C80680">
        <w:rPr>
          <w:b/>
        </w:rPr>
        <w:t>Discussion</w:t>
      </w:r>
    </w:p>
    <w:p w14:paraId="5BC9B331" w14:textId="155898C8" w:rsidR="006A12E6" w:rsidRPr="00C80680" w:rsidRDefault="006C5510" w:rsidP="00C54C96">
      <w:pPr>
        <w:spacing w:line="480" w:lineRule="auto"/>
      </w:pPr>
      <w:r w:rsidRPr="00C80680">
        <w:t>W</w:t>
      </w:r>
      <w:r w:rsidR="00E82BDA" w:rsidRPr="00C80680">
        <w:t xml:space="preserve">e sought to clarify the relationship between </w:t>
      </w:r>
      <w:r w:rsidR="007A73B9" w:rsidRPr="00C80680">
        <w:t>illness beliefs, behavioral responses to illness, and disability among veterans with a complex</w:t>
      </w:r>
      <w:r w:rsidR="009F2AA4" w:rsidRPr="00C80680">
        <w:t xml:space="preserve"> </w:t>
      </w:r>
      <w:r w:rsidR="00EA4D70" w:rsidRPr="00C80680">
        <w:t xml:space="preserve">long-standing </w:t>
      </w:r>
      <w:r w:rsidR="009F2AA4" w:rsidRPr="00C80680">
        <w:t>medically unexplained syndrome (i.e., GWI)</w:t>
      </w:r>
      <w:r w:rsidR="007A73B9" w:rsidRPr="00C80680">
        <w:t xml:space="preserve">. </w:t>
      </w:r>
      <w:r w:rsidR="00DD5C1F" w:rsidRPr="00C80680">
        <w:t xml:space="preserve">We found </w:t>
      </w:r>
      <w:r w:rsidR="00F17671" w:rsidRPr="00C80680">
        <w:t xml:space="preserve">greater </w:t>
      </w:r>
      <w:r w:rsidR="00DD5C1F" w:rsidRPr="00C80680">
        <w:t xml:space="preserve">all-or-nothing behavior, limiting behavior and practical support seeking </w:t>
      </w:r>
      <w:r w:rsidR="00DD5C1F" w:rsidRPr="00C80680">
        <w:lastRenderedPageBreak/>
        <w:t xml:space="preserve">predicted </w:t>
      </w:r>
      <w:r w:rsidR="00F17671" w:rsidRPr="00C80680">
        <w:t xml:space="preserve">worse </w:t>
      </w:r>
      <w:r w:rsidR="00DD5C1F" w:rsidRPr="00C80680">
        <w:t xml:space="preserve">disability in regression analyses. These findings are somewhat inconsistent with our a priori hypotheses. The direct relationship between </w:t>
      </w:r>
      <w:r w:rsidR="00F17671" w:rsidRPr="00C80680">
        <w:t xml:space="preserve">greater </w:t>
      </w:r>
      <w:r w:rsidR="00DD5C1F" w:rsidRPr="00C80680">
        <w:t xml:space="preserve">all-or-nothing behavior and </w:t>
      </w:r>
      <w:r w:rsidR="00F17671" w:rsidRPr="00C80680">
        <w:t xml:space="preserve">worse </w:t>
      </w:r>
      <w:r w:rsidR="00DD5C1F" w:rsidRPr="00C80680">
        <w:t xml:space="preserve">disability is consistent with previous research which found all-or-nothing behavior is associated with the development </w:t>
      </w:r>
      <w:r w:rsidR="00DB5358" w:rsidRPr="00C80680">
        <w:t>of</w:t>
      </w:r>
      <w:r w:rsidR="00DD5C1F" w:rsidRPr="00C80680">
        <w:t xml:space="preserve"> MUS </w:t>
      </w:r>
      <w:r w:rsidR="00DB5358" w:rsidRPr="00C80680">
        <w:t>and ongoing disability</w:t>
      </w:r>
      <w:r w:rsidR="00851D2F" w:rsidRPr="00C80680">
        <w:t xml:space="preserve"> [11-13,16].</w:t>
      </w:r>
      <w:r w:rsidR="00DB5358" w:rsidRPr="00C80680">
        <w:t xml:space="preserve"> </w:t>
      </w:r>
      <w:r w:rsidR="00851D2F" w:rsidRPr="00C80680">
        <w:t xml:space="preserve"> </w:t>
      </w:r>
      <w:r w:rsidR="00DD5C1F" w:rsidRPr="00C80680">
        <w:t xml:space="preserve">However, greater limiting behavior and practical support-seeking were also related to </w:t>
      </w:r>
      <w:r w:rsidR="00F17671" w:rsidRPr="00C80680">
        <w:t>worse</w:t>
      </w:r>
      <w:r w:rsidR="00DD5C1F" w:rsidRPr="00C80680">
        <w:t xml:space="preserve"> disability.  This is inconsistent with previous research </w:t>
      </w:r>
      <w:r w:rsidR="00DC1ABF" w:rsidRPr="00C80680">
        <w:t>utilizing the BRIQ to investigate</w:t>
      </w:r>
      <w:r w:rsidR="00F237CB" w:rsidRPr="00C80680">
        <w:t xml:space="preserve"> onset of MUS symptoms, </w:t>
      </w:r>
      <w:r w:rsidR="00DD5C1F" w:rsidRPr="00C80680">
        <w:t xml:space="preserve">which found greater limiting behavior and practical support-seeking in response to acute illness protected against the development of medically unexplained symptoms </w:t>
      </w:r>
      <w:r w:rsidR="00851D2F" w:rsidRPr="00C80680">
        <w:t>[11,13]</w:t>
      </w:r>
      <w:r w:rsidR="00DD5C1F" w:rsidRPr="00C80680">
        <w:t xml:space="preserve">.  </w:t>
      </w:r>
      <w:r w:rsidR="00603000" w:rsidRPr="00C80680">
        <w:t xml:space="preserve">This discrepancy can be interpreted in </w:t>
      </w:r>
      <w:r w:rsidR="004D576A" w:rsidRPr="00C80680">
        <w:t xml:space="preserve">one of three ways.  </w:t>
      </w:r>
      <w:r w:rsidR="00603000" w:rsidRPr="00C80680">
        <w:t>First, these results may</w:t>
      </w:r>
      <w:r w:rsidR="00DD5C1F" w:rsidRPr="00C80680">
        <w:t xml:space="preserve"> highlight how behaviors that may be protective prior to onset of MUS may </w:t>
      </w:r>
      <w:proofErr w:type="gramStart"/>
      <w:r w:rsidR="00DD5C1F" w:rsidRPr="00C80680">
        <w:t>actually perpetuate</w:t>
      </w:r>
      <w:proofErr w:type="gramEnd"/>
      <w:r w:rsidR="00DD5C1F" w:rsidRPr="00C80680">
        <w:t xml:space="preserve"> disability over the long-term.  </w:t>
      </w:r>
      <w:r w:rsidR="00603000" w:rsidRPr="00C80680">
        <w:t>In other words</w:t>
      </w:r>
      <w:r w:rsidR="00DD5C1F" w:rsidRPr="00C80680">
        <w:t>, while rest and seeking help from others are adaptive for acute illness and recovery, long-term inactivity and reliance on others can lead to decreased engagement in life and decreased functioning.</w:t>
      </w:r>
      <w:r w:rsidR="00050D51" w:rsidRPr="00C80680">
        <w:t xml:space="preserve"> However, </w:t>
      </w:r>
      <w:r w:rsidR="00603000" w:rsidRPr="00C80680">
        <w:t xml:space="preserve">it is also possible that more severe disability necessitates greater limiting behaviors and practical support from others. </w:t>
      </w:r>
      <w:r w:rsidR="004D576A" w:rsidRPr="00C80680">
        <w:t>We believe the most likely interpretation</w:t>
      </w:r>
      <w:r w:rsidR="00942356" w:rsidRPr="00C80680">
        <w:t xml:space="preserve"> of these results</w:t>
      </w:r>
      <w:r w:rsidR="004D576A" w:rsidRPr="00C80680">
        <w:t xml:space="preserve">, based on the tenets of the </w:t>
      </w:r>
      <w:proofErr w:type="gramStart"/>
      <w:r w:rsidR="004D576A" w:rsidRPr="00C80680">
        <w:t>Common Sense</w:t>
      </w:r>
      <w:proofErr w:type="gramEnd"/>
      <w:r w:rsidR="004D576A" w:rsidRPr="00C80680">
        <w:t xml:space="preserve"> Model, is that there is a cyclical relationship between behaviors and disabilit</w:t>
      </w:r>
      <w:r w:rsidR="00942356" w:rsidRPr="00C80680">
        <w:t>y</w:t>
      </w:r>
      <w:r w:rsidR="004D576A" w:rsidRPr="00C80680">
        <w:t xml:space="preserve"> such that </w:t>
      </w:r>
      <w:r w:rsidR="00942356" w:rsidRPr="00C80680">
        <w:t xml:space="preserve">the severity of </w:t>
      </w:r>
      <w:r w:rsidR="009E4BA9" w:rsidRPr="00C80680">
        <w:t>one’s illness</w:t>
      </w:r>
      <w:r w:rsidR="00942356" w:rsidRPr="00C80680">
        <w:t xml:space="preserve"> informs behaviors, and these behaviors in turn influence disability level</w:t>
      </w:r>
      <w:r w:rsidR="009E4BA9" w:rsidRPr="00C80680">
        <w:t>, which in turn influences behavior, and so on</w:t>
      </w:r>
      <w:r w:rsidR="00942356" w:rsidRPr="00C80680">
        <w:t>.</w:t>
      </w:r>
      <w:r w:rsidR="00846CE0" w:rsidRPr="00C80680">
        <w:t xml:space="preserve"> </w:t>
      </w:r>
      <w:r w:rsidR="00942356" w:rsidRPr="00C80680">
        <w:t xml:space="preserve"> </w:t>
      </w:r>
      <w:r w:rsidR="004D576A" w:rsidRPr="00C80680">
        <w:t xml:space="preserve">However, given the cross-sectional design of this study, further research is needed to confirm </w:t>
      </w:r>
      <w:r w:rsidR="002D4593" w:rsidRPr="00C80680">
        <w:t xml:space="preserve">the directionality of these relationships. </w:t>
      </w:r>
      <w:r w:rsidR="004D576A" w:rsidRPr="00C80680">
        <w:t xml:space="preserve"> </w:t>
      </w:r>
    </w:p>
    <w:p w14:paraId="59F03FA2" w14:textId="02E9E556" w:rsidR="001B5763" w:rsidRPr="00C80680" w:rsidRDefault="0054212A" w:rsidP="00C54C96">
      <w:pPr>
        <w:spacing w:line="480" w:lineRule="auto"/>
        <w:ind w:firstLine="720"/>
      </w:pPr>
      <w:r w:rsidRPr="00C80680">
        <w:t>Our study also helped to clarify if illness beliefs are u</w:t>
      </w:r>
      <w:r w:rsidR="006A12E6" w:rsidRPr="00C80680">
        <w:t xml:space="preserve">sed to guide behavioral responses. That is, we found that </w:t>
      </w:r>
      <w:r w:rsidR="000B1D96" w:rsidRPr="00C80680">
        <w:t xml:space="preserve">threat-related illness </w:t>
      </w:r>
      <w:r w:rsidR="00535619" w:rsidRPr="00C80680">
        <w:t xml:space="preserve">beliefs </w:t>
      </w:r>
      <w:r w:rsidR="000B1D96" w:rsidRPr="00C80680">
        <w:t>about</w:t>
      </w:r>
      <w:r w:rsidR="00535619" w:rsidRPr="00C80680">
        <w:t xml:space="preserve"> GWI are associated with decreases in activity and increased reliance on others for practical support, which in turn is associa</w:t>
      </w:r>
      <w:r w:rsidR="00535619" w:rsidRPr="00535619">
        <w:t>ted with gre</w:t>
      </w:r>
      <w:r w:rsidR="00A31D29">
        <w:t>ater disability.  We also found</w:t>
      </w:r>
      <w:r w:rsidR="00535619" w:rsidRPr="00535619">
        <w:t xml:space="preserve"> </w:t>
      </w:r>
      <w:r w:rsidR="00923B81">
        <w:t xml:space="preserve">reductions in </w:t>
      </w:r>
      <w:r w:rsidR="00337F0C">
        <w:t>all-or-</w:t>
      </w:r>
      <w:r w:rsidR="00535619" w:rsidRPr="00535619">
        <w:t xml:space="preserve">nothing behavior and limiting behavior </w:t>
      </w:r>
      <w:r w:rsidR="00535619" w:rsidRPr="00535619">
        <w:lastRenderedPageBreak/>
        <w:t>partially mediated the relationship between more protective illness beliefs and disability.  Specifically, beliefs that GWI is understandable (i.e., makes sense within one’s life) and controllable are associated with less engageme</w:t>
      </w:r>
      <w:r w:rsidR="00337F0C">
        <w:t>nt in limiting behavior and all-or-</w:t>
      </w:r>
      <w:r w:rsidR="00535619" w:rsidRPr="00535619">
        <w:t xml:space="preserve">nothing behavior, which in turn is associated with less disability. </w:t>
      </w:r>
      <w:r w:rsidR="00D05484">
        <w:t>These fi</w:t>
      </w:r>
      <w:r w:rsidR="00A051C0">
        <w:t xml:space="preserve">ndings highlight the </w:t>
      </w:r>
      <w:proofErr w:type="gramStart"/>
      <w:r w:rsidR="00A051C0">
        <w:t xml:space="preserve">particular </w:t>
      </w:r>
      <w:r w:rsidR="00D05484">
        <w:t>importance</w:t>
      </w:r>
      <w:proofErr w:type="gramEnd"/>
      <w:r w:rsidR="00D05484">
        <w:t xml:space="preserve"> of limiting beha</w:t>
      </w:r>
      <w:r w:rsidR="00535619">
        <w:t>v</w:t>
      </w:r>
      <w:r w:rsidR="00D05484">
        <w:t>i</w:t>
      </w:r>
      <w:r w:rsidR="00535619">
        <w:t xml:space="preserve">ors </w:t>
      </w:r>
      <w:r w:rsidR="00D05484">
        <w:t>as a mediator between illness beliefs and disability</w:t>
      </w:r>
      <w:r w:rsidR="003159A6">
        <w:t xml:space="preserve"> for those </w:t>
      </w:r>
      <w:r w:rsidR="003159A6" w:rsidRPr="00C80680">
        <w:t>with chronic MUS</w:t>
      </w:r>
      <w:r w:rsidR="00A31D29" w:rsidRPr="00C80680">
        <w:t xml:space="preserve">. </w:t>
      </w:r>
    </w:p>
    <w:p w14:paraId="063A919F" w14:textId="620FBBF4" w:rsidR="00481EBF" w:rsidRPr="00C80680" w:rsidRDefault="00972E76" w:rsidP="00C54C96">
      <w:pPr>
        <w:spacing w:line="480" w:lineRule="auto"/>
        <w:ind w:firstLine="720"/>
      </w:pPr>
      <w:r w:rsidRPr="00C80680">
        <w:t>If</w:t>
      </w:r>
      <w:r w:rsidR="00E826E8" w:rsidRPr="00C80680">
        <w:t xml:space="preserve"> these results are duplicated in future, and longitudinal studies, </w:t>
      </w:r>
      <w:r w:rsidR="005D60CE" w:rsidRPr="00C80680">
        <w:t>they</w:t>
      </w:r>
      <w:r w:rsidR="00E826E8" w:rsidRPr="00C80680">
        <w:t xml:space="preserve"> suggest implications for treatment. T</w:t>
      </w:r>
      <w:r w:rsidR="004F411F" w:rsidRPr="00C80680">
        <w:t>he present results suggest that l</w:t>
      </w:r>
      <w:r w:rsidR="00ED7DA2" w:rsidRPr="00C80680">
        <w:t>imiting behavior</w:t>
      </w:r>
      <w:r w:rsidR="00CE55C1" w:rsidRPr="00C80680">
        <w:t xml:space="preserve"> and</w:t>
      </w:r>
      <w:r w:rsidR="00ED7DA2" w:rsidRPr="00C80680">
        <w:t xml:space="preserve"> all-or-nothing behavior are strongly negatively related to functioning.  The commonality among these</w:t>
      </w:r>
      <w:r w:rsidR="00481EBF" w:rsidRPr="00C80680">
        <w:t xml:space="preserve"> </w:t>
      </w:r>
      <w:r w:rsidR="00ED7DA2" w:rsidRPr="00C80680">
        <w:t>behavioral responses to illness is the disruption of typical life activities.  Thus, strategies that help promote the return to an individual’s routine despite the obstacles presented by physical symptoms would likely be beneficial. This is different from the typical recommendation of gradually increasing activity or graded exercise.  Rather, treatment recommendations may need to be more patient-centered and individualized to address the specific ways in which MUS symptoms are interfering in a patient’s typical daily behaviors</w:t>
      </w:r>
      <w:r w:rsidR="0089789A" w:rsidRPr="00C80680">
        <w:t>, which may or may not include physical activity</w:t>
      </w:r>
      <w:r w:rsidR="007D54D8" w:rsidRPr="00C80680">
        <w:t xml:space="preserve">, </w:t>
      </w:r>
    </w:p>
    <w:p w14:paraId="62B1A43B" w14:textId="1A6AB119" w:rsidR="00ED7DA2" w:rsidRPr="00C80680" w:rsidRDefault="00481EBF" w:rsidP="00C54C96">
      <w:pPr>
        <w:spacing w:line="480" w:lineRule="auto"/>
        <w:ind w:firstLine="720"/>
      </w:pPr>
      <w:r w:rsidRPr="00C80680">
        <w:t>Interestingly, practical support seeking was also related to greater disability</w:t>
      </w:r>
      <w:r w:rsidR="001B6888" w:rsidRPr="00C80680">
        <w:t>,</w:t>
      </w:r>
      <w:r w:rsidR="00DF2A89" w:rsidRPr="00C80680">
        <w:t xml:space="preserve"> </w:t>
      </w:r>
      <w:r w:rsidRPr="00C80680">
        <w:t>highligh</w:t>
      </w:r>
      <w:r w:rsidR="001B6888" w:rsidRPr="00C80680">
        <w:t>t</w:t>
      </w:r>
      <w:r w:rsidR="00DF2A89" w:rsidRPr="00C80680">
        <w:t>ing</w:t>
      </w:r>
      <w:r w:rsidRPr="00C80680">
        <w:t xml:space="preserve"> the importance of social interactions among those with MUS</w:t>
      </w:r>
      <w:r w:rsidR="003F37CE" w:rsidRPr="00C80680">
        <w:t>, and specifically caregiver relationships</w:t>
      </w:r>
      <w:r w:rsidR="00ED7DA2" w:rsidRPr="00C80680">
        <w:t>.</w:t>
      </w:r>
      <w:r w:rsidR="007D54D8" w:rsidRPr="00C80680">
        <w:t xml:space="preserve">  Relationship factors may easily be overlooked in the treatment of MUS given the focus on physical symptoms; however, there is the potential for </w:t>
      </w:r>
      <w:proofErr w:type="gramStart"/>
      <w:r w:rsidR="007D54D8" w:rsidRPr="00C80680">
        <w:t>a number of</w:t>
      </w:r>
      <w:proofErr w:type="gramEnd"/>
      <w:r w:rsidR="007D54D8" w:rsidRPr="00C80680">
        <w:t xml:space="preserve"> interpersonal problems to emerge </w:t>
      </w:r>
      <w:r w:rsidR="002F5277" w:rsidRPr="00C80680">
        <w:t>which could affect both emotional and physical functioning</w:t>
      </w:r>
      <w:r w:rsidR="007D54D8" w:rsidRPr="00C80680">
        <w:t>.  For example, caregiver</w:t>
      </w:r>
      <w:r w:rsidR="002F5277" w:rsidRPr="00C80680">
        <w:t xml:space="preserve"> burden, hostility, or overinvolvement could all negatively affect</w:t>
      </w:r>
      <w:r w:rsidR="003F37CE" w:rsidRPr="00C80680">
        <w:t xml:space="preserve"> patient functioning</w:t>
      </w:r>
      <w:r w:rsidR="002F5277" w:rsidRPr="00C80680">
        <w:t xml:space="preserve"> </w:t>
      </w:r>
      <w:r w:rsidR="00EB2A0B" w:rsidRPr="00C80680">
        <w:t xml:space="preserve">and lead to social isolation. </w:t>
      </w:r>
      <w:r w:rsidR="007D54D8" w:rsidRPr="00C80680">
        <w:t xml:space="preserve"> </w:t>
      </w:r>
      <w:proofErr w:type="gramStart"/>
      <w:r w:rsidRPr="00C80680">
        <w:t>Thus</w:t>
      </w:r>
      <w:proofErr w:type="gramEnd"/>
      <w:r w:rsidRPr="00C80680">
        <w:t xml:space="preserve"> </w:t>
      </w:r>
      <w:bookmarkStart w:id="4" w:name="_Hlk17457701"/>
      <w:r w:rsidRPr="00C80680">
        <w:t>strategies to</w:t>
      </w:r>
      <w:r w:rsidR="00773713" w:rsidRPr="00C80680">
        <w:t xml:space="preserve"> </w:t>
      </w:r>
      <w:r w:rsidR="00F71EBA" w:rsidRPr="00C80680">
        <w:t>help</w:t>
      </w:r>
      <w:r w:rsidRPr="00C80680">
        <w:t xml:space="preserve"> individuals seek support from their </w:t>
      </w:r>
      <w:r w:rsidRPr="00C80680">
        <w:lastRenderedPageBreak/>
        <w:t>caregivers</w:t>
      </w:r>
      <w:r w:rsidR="00F71EBA" w:rsidRPr="00C80680">
        <w:t xml:space="preserve"> in a manner </w:t>
      </w:r>
      <w:r w:rsidR="000333B8" w:rsidRPr="00C80680">
        <w:t>that</w:t>
      </w:r>
      <w:r w:rsidR="00012FC4" w:rsidRPr="00C80680">
        <w:t xml:space="preserve"> maximize</w:t>
      </w:r>
      <w:r w:rsidR="000333B8" w:rsidRPr="00C80680">
        <w:t>s</w:t>
      </w:r>
      <w:r w:rsidR="00012FC4" w:rsidRPr="00C80680">
        <w:t xml:space="preserve"> the benefits of social supports and minimize</w:t>
      </w:r>
      <w:r w:rsidR="000333B8" w:rsidRPr="00C80680">
        <w:t>s</w:t>
      </w:r>
      <w:r w:rsidR="00012FC4" w:rsidRPr="00C80680">
        <w:t xml:space="preserve"> the occurrence of negative social interactions</w:t>
      </w:r>
      <w:bookmarkStart w:id="5" w:name="_Hlk15037653"/>
      <w:r w:rsidR="00012FC4" w:rsidRPr="00C80680">
        <w:t xml:space="preserve">, as well </w:t>
      </w:r>
      <w:r w:rsidR="00F94831" w:rsidRPr="00C80680">
        <w:t xml:space="preserve">as </w:t>
      </w:r>
      <w:r w:rsidR="00012FC4" w:rsidRPr="00C80680">
        <w:t>support and education for the caregivers themselves</w:t>
      </w:r>
      <w:bookmarkEnd w:id="5"/>
      <w:bookmarkEnd w:id="4"/>
      <w:r w:rsidR="00012FC4" w:rsidRPr="00C80680">
        <w:t xml:space="preserve">, </w:t>
      </w:r>
      <w:r w:rsidRPr="00C80680">
        <w:t>may be beneficial</w:t>
      </w:r>
      <w:r w:rsidR="00B15CD1" w:rsidRPr="00C80680">
        <w:t xml:space="preserve"> to include within MUS treatments</w:t>
      </w:r>
      <w:r w:rsidRPr="00C80680">
        <w:t xml:space="preserve">.  </w:t>
      </w:r>
    </w:p>
    <w:p w14:paraId="7AB5A320" w14:textId="1DFDE08C" w:rsidR="00F04182" w:rsidRDefault="00812F03" w:rsidP="00C54C96">
      <w:pPr>
        <w:spacing w:line="480" w:lineRule="auto"/>
        <w:ind w:firstLine="720"/>
      </w:pPr>
      <w:r w:rsidRPr="00C80680">
        <w:t xml:space="preserve">Our study also supported previous research </w:t>
      </w:r>
      <w:r w:rsidR="00306E3E" w:rsidRPr="00C80680">
        <w:t>in that we found</w:t>
      </w:r>
      <w:r w:rsidRPr="00C80680">
        <w:t xml:space="preserve"> threat related MUS beliefs are associated with greater disability</w:t>
      </w:r>
      <w:r w:rsidR="00306E3E" w:rsidRPr="00C80680">
        <w:t>, protective illness beliefs (e.g., that MUS is understandable and controllable)</w:t>
      </w:r>
      <w:r w:rsidRPr="00C80680">
        <w:t xml:space="preserve"> are associated with less disability</w:t>
      </w:r>
      <w:r w:rsidR="00306E3E" w:rsidRPr="00C80680">
        <w:t xml:space="preserve">, and causal beliefs have little to no association with disability </w:t>
      </w:r>
      <w:r w:rsidR="00851D2F" w:rsidRPr="00C80680">
        <w:t>[3</w:t>
      </w:r>
      <w:r w:rsidR="00CF2CF8" w:rsidRPr="00C80680">
        <w:t>8</w:t>
      </w:r>
      <w:r w:rsidR="001C5E39" w:rsidRPr="00C80680">
        <w:t>-3</w:t>
      </w:r>
      <w:r w:rsidR="00CF2CF8" w:rsidRPr="00C80680">
        <w:t>9</w:t>
      </w:r>
      <w:r w:rsidR="00851D2F" w:rsidRPr="00C80680">
        <w:t>]</w:t>
      </w:r>
      <w:r w:rsidRPr="00C80680">
        <w:t xml:space="preserve">. Further, the relationship </w:t>
      </w:r>
      <w:r>
        <w:t xml:space="preserve">between threat related beliefs and disability is stronger as compared to the relationship between positive beliefs and disability.  </w:t>
      </w:r>
      <w:r w:rsidR="00F04182">
        <w:t xml:space="preserve">Our findings suggest that beliefs related to the threat, severity and chronicity of MUS are particularly important among veterans with </w:t>
      </w:r>
      <w:proofErr w:type="gramStart"/>
      <w:r w:rsidR="00F04182">
        <w:t>GWI, and</w:t>
      </w:r>
      <w:proofErr w:type="gramEnd"/>
      <w:r w:rsidR="00F04182">
        <w:t xml:space="preserve"> may be valuable treatment targets. </w:t>
      </w:r>
      <w:r w:rsidR="00306E3E">
        <w:t xml:space="preserve"> </w:t>
      </w:r>
      <w:r>
        <w:t xml:space="preserve">What is not known is how </w:t>
      </w:r>
      <w:r w:rsidR="00F04182">
        <w:t xml:space="preserve">treatments can best </w:t>
      </w:r>
      <w:r>
        <w:t>address these beliefs</w:t>
      </w:r>
      <w:r w:rsidR="00F04182">
        <w:t xml:space="preserve">. </w:t>
      </w:r>
    </w:p>
    <w:p w14:paraId="6331C68B" w14:textId="5FC4DA77" w:rsidR="002941A7" w:rsidRDefault="00644EF2" w:rsidP="00C54C96">
      <w:pPr>
        <w:spacing w:line="480" w:lineRule="auto"/>
        <w:ind w:firstLine="720"/>
      </w:pPr>
      <w:r>
        <w:t xml:space="preserve">Current approaches to MUS treatment utilize top down methods of </w:t>
      </w:r>
      <w:r w:rsidR="00F93FBE">
        <w:t xml:space="preserve">teaching patients to challenge illness beliefs (e.g., cognitive therapy). </w:t>
      </w:r>
      <w:r w:rsidR="00225144">
        <w:t>While this approach has merit, it</w:t>
      </w:r>
      <w:r w:rsidR="00F93FBE">
        <w:t xml:space="preserve"> risks alienating patients who may feel the provider is minimizing the impact of their MUS. </w:t>
      </w:r>
      <w:r w:rsidR="006C5B77">
        <w:t xml:space="preserve">Our data suggests that illness beliefs influence outcomes, in part, because they direct behavior. This suggests that a </w:t>
      </w:r>
      <w:r w:rsidR="00F93FBE">
        <w:t xml:space="preserve">bottom-up approach of teaching patients to change their behaviors and monitor if these changes </w:t>
      </w:r>
      <w:r w:rsidR="00F04182">
        <w:t xml:space="preserve">may </w:t>
      </w:r>
      <w:r w:rsidR="00F93FBE">
        <w:t xml:space="preserve">result in improvements in disability and a </w:t>
      </w:r>
      <w:r w:rsidR="00B329DC">
        <w:t xml:space="preserve">change </w:t>
      </w:r>
      <w:r w:rsidR="00F93FBE">
        <w:t>in illness beliefs</w:t>
      </w:r>
      <w:r w:rsidR="003D206C">
        <w:t xml:space="preserve"> could be effective</w:t>
      </w:r>
      <w:r w:rsidR="00F93FBE">
        <w:t>.</w:t>
      </w:r>
      <w:r w:rsidR="006F0393">
        <w:t xml:space="preserve">  </w:t>
      </w:r>
    </w:p>
    <w:p w14:paraId="500A7F92" w14:textId="10AA63D3" w:rsidR="002941A7" w:rsidRPr="00C80680" w:rsidRDefault="002941A7" w:rsidP="00C54C96">
      <w:pPr>
        <w:spacing w:line="480" w:lineRule="auto"/>
        <w:ind w:firstLine="720"/>
      </w:pPr>
      <w:r>
        <w:t xml:space="preserve">This study is important because it identified specific behaviors that may be contributing to disability </w:t>
      </w:r>
      <w:r w:rsidRPr="00C80680">
        <w:t xml:space="preserve">among those with traditionally treatment-resistant MUS. A limitation is that our study is cross-sectional.  </w:t>
      </w:r>
      <w:r w:rsidR="00DF2A89" w:rsidRPr="00C80680">
        <w:t xml:space="preserve"> While the current study proposes a model whereby illness beliefs direct behavior which in turn influence disability, the reverse is also plausible.  For example, disability status could drive changes in behavior which then influence illness beliefs.  Alternatively, </w:t>
      </w:r>
      <w:r w:rsidR="00DF2A89" w:rsidRPr="00C80680">
        <w:lastRenderedPageBreak/>
        <w:t xml:space="preserve">disability could affect how one thinks about their illness, which in turn could influence behavior.  The </w:t>
      </w:r>
      <w:proofErr w:type="gramStart"/>
      <w:r w:rsidR="00DF2A89" w:rsidRPr="00C80680">
        <w:t>Common Sense</w:t>
      </w:r>
      <w:proofErr w:type="gramEnd"/>
      <w:r w:rsidR="00DF2A89" w:rsidRPr="00C80680">
        <w:t xml:space="preserve"> Model can account for all of these interpretations as it is a feedback model where beliefs, behaviors, and health continue to have an effect on each other in a cyclical fashion </w:t>
      </w:r>
      <w:r w:rsidR="00851D2F" w:rsidRPr="00C80680">
        <w:t>[18]</w:t>
      </w:r>
      <w:r w:rsidR="005D60CE" w:rsidRPr="00C80680">
        <w:t>,</w:t>
      </w:r>
      <w:r w:rsidR="0044331A" w:rsidRPr="00C80680">
        <w:t xml:space="preserve"> and future longitudinal research is needed to clarify temporal relationships. </w:t>
      </w:r>
      <w:r w:rsidRPr="00C80680">
        <w:t xml:space="preserve">Additionally, the results may not generalize to other MUS patient populations and/or civilian populations.  Finally, all variables were measured by self-report.  </w:t>
      </w:r>
    </w:p>
    <w:p w14:paraId="45FB7043" w14:textId="73C45A82" w:rsidR="001858F9" w:rsidRPr="00C80680" w:rsidRDefault="00784723" w:rsidP="00C54C96">
      <w:pPr>
        <w:spacing w:line="480" w:lineRule="auto"/>
        <w:ind w:firstLine="720"/>
      </w:pPr>
      <w:r w:rsidRPr="00C80680">
        <w:t>In sum,</w:t>
      </w:r>
      <w:r w:rsidR="001734CC" w:rsidRPr="00C80680">
        <w:t xml:space="preserve"> </w:t>
      </w:r>
      <w:r w:rsidR="00B73285" w:rsidRPr="00C80680">
        <w:t>this study’s results have implications regarding the mechanisms that perpetuate disability am</w:t>
      </w:r>
      <w:r w:rsidR="008961E9" w:rsidRPr="00C80680">
        <w:t xml:space="preserve">ong those with longstanding GWI.  </w:t>
      </w:r>
      <w:r w:rsidR="009D4DF3" w:rsidRPr="00C80680">
        <w:t>If replicated</w:t>
      </w:r>
      <w:r w:rsidR="00E92D68" w:rsidRPr="00C80680">
        <w:t xml:space="preserve"> in longitudinal studies</w:t>
      </w:r>
      <w:r w:rsidR="009D4DF3" w:rsidRPr="00C80680">
        <w:t>, o</w:t>
      </w:r>
      <w:r w:rsidR="008961E9" w:rsidRPr="00C80680">
        <w:t>ur findings can</w:t>
      </w:r>
      <w:r w:rsidR="00B73285" w:rsidRPr="00C80680">
        <w:t xml:space="preserve"> help providers tailor</w:t>
      </w:r>
      <w:r w:rsidR="00670F84" w:rsidRPr="00C80680">
        <w:t xml:space="preserve"> </w:t>
      </w:r>
      <w:r w:rsidR="001734CC" w:rsidRPr="00C80680">
        <w:t xml:space="preserve">interventions to target the </w:t>
      </w:r>
      <w:proofErr w:type="gramStart"/>
      <w:r w:rsidR="007E3FA6" w:rsidRPr="00C80680">
        <w:t>particular</w:t>
      </w:r>
      <w:r w:rsidR="001734CC" w:rsidRPr="00C80680">
        <w:t xml:space="preserve"> illness</w:t>
      </w:r>
      <w:proofErr w:type="gramEnd"/>
      <w:r w:rsidR="001734CC" w:rsidRPr="00C80680">
        <w:t xml:space="preserve"> beliefs and</w:t>
      </w:r>
      <w:r w:rsidR="00B0269A" w:rsidRPr="00C80680">
        <w:t xml:space="preserve"> behaviors that are</w:t>
      </w:r>
      <w:r w:rsidR="001734CC" w:rsidRPr="00C80680">
        <w:t xml:space="preserve"> </w:t>
      </w:r>
      <w:r w:rsidR="00B0269A" w:rsidRPr="00C80680">
        <w:t>salien</w:t>
      </w:r>
      <w:r w:rsidR="00EB6C46" w:rsidRPr="00C80680">
        <w:t>t</w:t>
      </w:r>
      <w:r w:rsidR="001734CC" w:rsidRPr="00C80680">
        <w:t xml:space="preserve"> to MUS, and specifically GWI.  </w:t>
      </w:r>
      <w:r w:rsidR="00B146F9" w:rsidRPr="00C80680">
        <w:t>Such tailored interventions might help improve both the effect size an</w:t>
      </w:r>
      <w:r w:rsidR="0025055B" w:rsidRPr="00C80680">
        <w:t>d</w:t>
      </w:r>
      <w:r w:rsidR="00B146F9" w:rsidRPr="00C80680">
        <w:t xml:space="preserve"> </w:t>
      </w:r>
      <w:r w:rsidR="00EB6C46" w:rsidRPr="00C80680">
        <w:t xml:space="preserve">long-term efficacy </w:t>
      </w:r>
      <w:r w:rsidR="00B146F9" w:rsidRPr="00C80680">
        <w:t>of standard cognitive</w:t>
      </w:r>
      <w:r w:rsidR="00823972" w:rsidRPr="00C80680">
        <w:t xml:space="preserve"> behavioral treatments for MUS.</w:t>
      </w:r>
      <w:r w:rsidR="007E3FA6" w:rsidRPr="00C80680">
        <w:t xml:space="preserve"> </w:t>
      </w:r>
      <w:r w:rsidR="00B146F9" w:rsidRPr="00C80680">
        <w:t xml:space="preserve"> </w:t>
      </w:r>
    </w:p>
    <w:p w14:paraId="405B2409" w14:textId="77777777" w:rsidR="001858F9" w:rsidRPr="00C80680" w:rsidRDefault="001858F9" w:rsidP="00C54C96">
      <w:pPr>
        <w:spacing w:line="480" w:lineRule="auto"/>
        <w:rPr>
          <w:rFonts w:ascii="Calibri" w:hAnsi="Calibri"/>
          <w:sz w:val="22"/>
          <w:szCs w:val="22"/>
        </w:rPr>
      </w:pPr>
    </w:p>
    <w:p w14:paraId="7B55551C" w14:textId="4ED12AA8" w:rsidR="008F7376" w:rsidRPr="00B971DA" w:rsidRDefault="008F7376" w:rsidP="00C54C96">
      <w:pPr>
        <w:spacing w:line="480" w:lineRule="auto"/>
        <w:jc w:val="center"/>
        <w:rPr>
          <w:b/>
          <w:color w:val="000000"/>
        </w:rPr>
      </w:pPr>
      <w:r w:rsidRPr="00B971DA">
        <w:rPr>
          <w:b/>
          <w:color w:val="000000"/>
        </w:rPr>
        <w:t>Compliance with Ethical Standards</w:t>
      </w:r>
    </w:p>
    <w:p w14:paraId="180DD617" w14:textId="77777777" w:rsidR="008F7376" w:rsidRDefault="008F7376" w:rsidP="00C54C96">
      <w:pPr>
        <w:spacing w:line="480" w:lineRule="auto"/>
        <w:ind w:firstLine="720"/>
        <w:rPr>
          <w:color w:val="000000"/>
        </w:rPr>
      </w:pPr>
      <w:r w:rsidRPr="00C30C87">
        <w:t>All procedures performed in studies involving human participants were in accordance with the ethical standards of the institutional and/or national research committee and with the 1964 Helsinki declaration and its later amendments or comparable ethical standards. Informed consent was obtained from all individual participants included in the study.</w:t>
      </w:r>
      <w:r w:rsidRPr="00A051C0">
        <w:t xml:space="preserve"> </w:t>
      </w:r>
      <w:r>
        <w:t xml:space="preserve"> </w:t>
      </w:r>
      <w:r w:rsidRPr="00B971DA">
        <w:rPr>
          <w:color w:val="000000"/>
        </w:rPr>
        <w:t>The authors declare that they have no conflict of interes</w:t>
      </w:r>
      <w:r w:rsidR="00C54C96">
        <w:rPr>
          <w:color w:val="000000"/>
        </w:rPr>
        <w:t>t</w:t>
      </w:r>
      <w:r w:rsidR="00BB0E95">
        <w:rPr>
          <w:color w:val="000000"/>
        </w:rPr>
        <w:t>.</w:t>
      </w:r>
    </w:p>
    <w:p w14:paraId="37D91B15" w14:textId="77777777" w:rsidR="00694E4B" w:rsidRPr="00BB0E95" w:rsidRDefault="00694E4B" w:rsidP="00BB0E95">
      <w:pPr>
        <w:rPr>
          <w:rFonts w:ascii="Calibri" w:hAnsi="Calibri"/>
          <w:sz w:val="22"/>
          <w:szCs w:val="22"/>
        </w:rPr>
        <w:sectPr w:rsidR="00694E4B" w:rsidRPr="00BB0E95" w:rsidSect="00C80680">
          <w:headerReference w:type="default" r:id="rId9"/>
          <w:pgSz w:w="12240" w:h="15840"/>
          <w:pgMar w:top="1440" w:right="1440" w:bottom="1440" w:left="1440" w:header="720" w:footer="720" w:gutter="0"/>
          <w:cols w:space="720"/>
          <w:docGrid w:linePitch="360"/>
        </w:sectPr>
      </w:pPr>
    </w:p>
    <w:tbl>
      <w:tblPr>
        <w:tblpPr w:leftFromText="180" w:rightFromText="180" w:vertAnchor="page" w:horzAnchor="margin" w:tblpY="1756"/>
        <w:tblW w:w="12574" w:type="dxa"/>
        <w:tblLook w:val="04A0" w:firstRow="1" w:lastRow="0" w:firstColumn="1" w:lastColumn="0" w:noHBand="0" w:noVBand="1"/>
      </w:tblPr>
      <w:tblGrid>
        <w:gridCol w:w="8138"/>
        <w:gridCol w:w="1478"/>
        <w:gridCol w:w="1478"/>
        <w:gridCol w:w="1480"/>
      </w:tblGrid>
      <w:tr w:rsidR="0056451F" w:rsidRPr="00B6769F" w14:paraId="58913A51" w14:textId="77777777" w:rsidTr="0056451F">
        <w:trPr>
          <w:trHeight w:val="460"/>
        </w:trPr>
        <w:tc>
          <w:tcPr>
            <w:tcW w:w="12574" w:type="dxa"/>
            <w:gridSpan w:val="4"/>
            <w:tcBorders>
              <w:bottom w:val="single" w:sz="4" w:space="0" w:color="auto"/>
            </w:tcBorders>
            <w:shd w:val="clear" w:color="auto" w:fill="auto"/>
            <w:noWrap/>
            <w:vAlign w:val="bottom"/>
            <w:hideMark/>
          </w:tcPr>
          <w:p w14:paraId="428DD630" w14:textId="6AB4129C" w:rsidR="0056451F" w:rsidRPr="00B6769F" w:rsidRDefault="0056451F" w:rsidP="004E2891">
            <w:pPr>
              <w:rPr>
                <w:rFonts w:ascii="Calibri" w:hAnsi="Calibri"/>
                <w:color w:val="000000"/>
                <w:sz w:val="22"/>
                <w:szCs w:val="22"/>
              </w:rPr>
            </w:pPr>
            <w:r w:rsidRPr="00B6769F">
              <w:rPr>
                <w:rFonts w:ascii="Calibri" w:hAnsi="Calibri"/>
                <w:color w:val="000000"/>
                <w:sz w:val="22"/>
                <w:szCs w:val="22"/>
              </w:rPr>
              <w:lastRenderedPageBreak/>
              <w:t xml:space="preserve">Table 1. </w:t>
            </w:r>
            <w:r>
              <w:rPr>
                <w:rFonts w:ascii="Calibri" w:hAnsi="Calibri"/>
                <w:color w:val="000000"/>
                <w:sz w:val="22"/>
                <w:szCs w:val="22"/>
              </w:rPr>
              <w:t>Descriptive statistics</w:t>
            </w:r>
            <w:r w:rsidRPr="00B6769F">
              <w:rPr>
                <w:rFonts w:ascii="Calibri" w:hAnsi="Calibri"/>
                <w:color w:val="000000"/>
                <w:sz w:val="22"/>
                <w:szCs w:val="22"/>
              </w:rPr>
              <w:t xml:space="preserve"> </w:t>
            </w:r>
          </w:p>
        </w:tc>
      </w:tr>
      <w:tr w:rsidR="0056451F" w:rsidRPr="00B6769F" w14:paraId="5CC3DDAF" w14:textId="77777777" w:rsidTr="0056451F">
        <w:trPr>
          <w:trHeight w:val="460"/>
        </w:trPr>
        <w:tc>
          <w:tcPr>
            <w:tcW w:w="8138" w:type="dxa"/>
            <w:tcBorders>
              <w:top w:val="single" w:sz="4" w:space="0" w:color="auto"/>
              <w:bottom w:val="single" w:sz="4" w:space="0" w:color="auto"/>
            </w:tcBorders>
            <w:shd w:val="clear" w:color="auto" w:fill="auto"/>
            <w:noWrap/>
            <w:vAlign w:val="bottom"/>
            <w:hideMark/>
          </w:tcPr>
          <w:p w14:paraId="567726F1" w14:textId="77777777" w:rsidR="0056451F" w:rsidRPr="00B6769F" w:rsidRDefault="0056451F" w:rsidP="004E2891">
            <w:pPr>
              <w:jc w:val="center"/>
              <w:rPr>
                <w:sz w:val="20"/>
                <w:szCs w:val="20"/>
              </w:rPr>
            </w:pPr>
          </w:p>
        </w:tc>
        <w:tc>
          <w:tcPr>
            <w:tcW w:w="1478" w:type="dxa"/>
            <w:tcBorders>
              <w:top w:val="single" w:sz="4" w:space="0" w:color="auto"/>
              <w:bottom w:val="single" w:sz="4" w:space="0" w:color="auto"/>
            </w:tcBorders>
            <w:shd w:val="clear" w:color="auto" w:fill="auto"/>
            <w:noWrap/>
            <w:vAlign w:val="bottom"/>
            <w:hideMark/>
          </w:tcPr>
          <w:p w14:paraId="341DCC82" w14:textId="1D55102D" w:rsidR="0056451F" w:rsidRPr="00B6769F" w:rsidRDefault="0056451F" w:rsidP="004E2891">
            <w:pPr>
              <w:jc w:val="center"/>
              <w:rPr>
                <w:rFonts w:ascii="Calibri" w:hAnsi="Calibri"/>
                <w:color w:val="000000"/>
                <w:sz w:val="22"/>
                <w:szCs w:val="22"/>
              </w:rPr>
            </w:pPr>
            <w:r>
              <w:rPr>
                <w:rFonts w:ascii="Calibri" w:hAnsi="Calibri"/>
                <w:color w:val="000000"/>
                <w:sz w:val="22"/>
                <w:szCs w:val="22"/>
              </w:rPr>
              <w:t>M (SD)</w:t>
            </w:r>
          </w:p>
        </w:tc>
        <w:tc>
          <w:tcPr>
            <w:tcW w:w="1478" w:type="dxa"/>
            <w:tcBorders>
              <w:top w:val="single" w:sz="4" w:space="0" w:color="auto"/>
              <w:bottom w:val="single" w:sz="4" w:space="0" w:color="auto"/>
            </w:tcBorders>
            <w:shd w:val="clear" w:color="auto" w:fill="auto"/>
            <w:noWrap/>
            <w:vAlign w:val="bottom"/>
            <w:hideMark/>
          </w:tcPr>
          <w:p w14:paraId="763B72B6" w14:textId="75B3A70F" w:rsidR="0056451F" w:rsidRPr="00B6769F" w:rsidRDefault="0056451F" w:rsidP="004E2891">
            <w:pPr>
              <w:jc w:val="center"/>
              <w:rPr>
                <w:rFonts w:ascii="Calibri" w:hAnsi="Calibri"/>
                <w:color w:val="000000"/>
                <w:sz w:val="22"/>
                <w:szCs w:val="22"/>
              </w:rPr>
            </w:pPr>
            <w:r>
              <w:rPr>
                <w:rFonts w:ascii="Calibri" w:hAnsi="Calibri"/>
                <w:color w:val="000000"/>
                <w:sz w:val="22"/>
                <w:szCs w:val="22"/>
              </w:rPr>
              <w:t>Range</w:t>
            </w:r>
          </w:p>
        </w:tc>
        <w:tc>
          <w:tcPr>
            <w:tcW w:w="1480" w:type="dxa"/>
            <w:tcBorders>
              <w:top w:val="single" w:sz="4" w:space="0" w:color="auto"/>
              <w:bottom w:val="single" w:sz="4" w:space="0" w:color="auto"/>
            </w:tcBorders>
            <w:shd w:val="clear" w:color="auto" w:fill="auto"/>
            <w:noWrap/>
            <w:vAlign w:val="bottom"/>
            <w:hideMark/>
          </w:tcPr>
          <w:p w14:paraId="61ACA800" w14:textId="3252F943" w:rsidR="0056451F" w:rsidRPr="00B6769F" w:rsidRDefault="0056451F" w:rsidP="004E2891">
            <w:pPr>
              <w:jc w:val="center"/>
              <w:rPr>
                <w:rFonts w:ascii="Calibri" w:hAnsi="Calibri"/>
                <w:color w:val="000000"/>
                <w:sz w:val="22"/>
                <w:szCs w:val="22"/>
              </w:rPr>
            </w:pPr>
            <w:r>
              <w:rPr>
                <w:rFonts w:ascii="Calibri" w:hAnsi="Calibri"/>
                <w:color w:val="000000"/>
                <w:sz w:val="22"/>
                <w:szCs w:val="22"/>
              </w:rPr>
              <w:t>%</w:t>
            </w:r>
          </w:p>
        </w:tc>
      </w:tr>
      <w:tr w:rsidR="0056451F" w:rsidRPr="00B6769F" w14:paraId="74E361B0" w14:textId="77777777" w:rsidTr="0056451F">
        <w:trPr>
          <w:trHeight w:val="460"/>
        </w:trPr>
        <w:tc>
          <w:tcPr>
            <w:tcW w:w="8138" w:type="dxa"/>
            <w:tcBorders>
              <w:top w:val="single" w:sz="4" w:space="0" w:color="auto"/>
            </w:tcBorders>
            <w:shd w:val="clear" w:color="auto" w:fill="auto"/>
            <w:noWrap/>
            <w:vAlign w:val="bottom"/>
            <w:hideMark/>
          </w:tcPr>
          <w:p w14:paraId="611C664D" w14:textId="6A6B9BE3" w:rsidR="0056451F" w:rsidRPr="00B6769F" w:rsidRDefault="0056451F" w:rsidP="004E2891">
            <w:pPr>
              <w:rPr>
                <w:rFonts w:ascii="Calibri" w:hAnsi="Calibri"/>
                <w:color w:val="000000"/>
                <w:sz w:val="22"/>
                <w:szCs w:val="22"/>
              </w:rPr>
            </w:pPr>
            <w:r>
              <w:rPr>
                <w:rFonts w:ascii="Calibri" w:hAnsi="Calibri"/>
                <w:color w:val="000000"/>
                <w:sz w:val="22"/>
                <w:szCs w:val="22"/>
              </w:rPr>
              <w:t>Age</w:t>
            </w:r>
          </w:p>
        </w:tc>
        <w:tc>
          <w:tcPr>
            <w:tcW w:w="1478" w:type="dxa"/>
            <w:tcBorders>
              <w:top w:val="single" w:sz="4" w:space="0" w:color="auto"/>
            </w:tcBorders>
            <w:shd w:val="clear" w:color="auto" w:fill="auto"/>
            <w:noWrap/>
            <w:vAlign w:val="bottom"/>
            <w:hideMark/>
          </w:tcPr>
          <w:p w14:paraId="198D8F1C" w14:textId="6BD0BDB4" w:rsidR="0056451F" w:rsidRPr="00B6769F" w:rsidRDefault="004A2C3F" w:rsidP="004A2C3F">
            <w:pPr>
              <w:jc w:val="center"/>
              <w:rPr>
                <w:rFonts w:ascii="Calibri" w:hAnsi="Calibri"/>
                <w:sz w:val="22"/>
                <w:szCs w:val="22"/>
              </w:rPr>
            </w:pPr>
            <w:r>
              <w:rPr>
                <w:rFonts w:ascii="Calibri" w:hAnsi="Calibri"/>
                <w:sz w:val="22"/>
                <w:szCs w:val="22"/>
              </w:rPr>
              <w:t>52.86 (</w:t>
            </w:r>
            <w:r w:rsidR="0026024B">
              <w:rPr>
                <w:rFonts w:ascii="Calibri" w:hAnsi="Calibri"/>
                <w:sz w:val="22"/>
                <w:szCs w:val="22"/>
              </w:rPr>
              <w:t>7.36</w:t>
            </w:r>
            <w:r>
              <w:rPr>
                <w:rFonts w:ascii="Calibri" w:hAnsi="Calibri"/>
                <w:sz w:val="22"/>
                <w:szCs w:val="22"/>
              </w:rPr>
              <w:t>)</w:t>
            </w:r>
          </w:p>
        </w:tc>
        <w:tc>
          <w:tcPr>
            <w:tcW w:w="1478" w:type="dxa"/>
            <w:tcBorders>
              <w:top w:val="single" w:sz="4" w:space="0" w:color="auto"/>
            </w:tcBorders>
            <w:shd w:val="clear" w:color="auto" w:fill="auto"/>
            <w:noWrap/>
            <w:vAlign w:val="bottom"/>
            <w:hideMark/>
          </w:tcPr>
          <w:p w14:paraId="66B7F7AA" w14:textId="2195A0AC" w:rsidR="0056451F" w:rsidRPr="00B6769F" w:rsidRDefault="0026024B" w:rsidP="004A2C3F">
            <w:pPr>
              <w:jc w:val="center"/>
              <w:rPr>
                <w:rFonts w:ascii="Calibri" w:hAnsi="Calibri"/>
                <w:sz w:val="22"/>
                <w:szCs w:val="22"/>
              </w:rPr>
            </w:pPr>
            <w:r>
              <w:rPr>
                <w:rFonts w:ascii="Calibri" w:hAnsi="Calibri"/>
                <w:sz w:val="22"/>
                <w:szCs w:val="22"/>
              </w:rPr>
              <w:t>42-79</w:t>
            </w:r>
          </w:p>
        </w:tc>
        <w:tc>
          <w:tcPr>
            <w:tcW w:w="1480" w:type="dxa"/>
            <w:tcBorders>
              <w:top w:val="single" w:sz="4" w:space="0" w:color="auto"/>
            </w:tcBorders>
            <w:shd w:val="clear" w:color="auto" w:fill="auto"/>
            <w:noWrap/>
            <w:vAlign w:val="bottom"/>
            <w:hideMark/>
          </w:tcPr>
          <w:p w14:paraId="3AA53470" w14:textId="5E9F17AC" w:rsidR="0056451F" w:rsidRPr="00B6769F" w:rsidRDefault="0056451F" w:rsidP="004E2891">
            <w:pPr>
              <w:jc w:val="right"/>
              <w:rPr>
                <w:rFonts w:ascii="Calibri" w:hAnsi="Calibri"/>
                <w:sz w:val="22"/>
                <w:szCs w:val="22"/>
              </w:rPr>
            </w:pPr>
          </w:p>
        </w:tc>
      </w:tr>
      <w:tr w:rsidR="0056451F" w:rsidRPr="00B6769F" w14:paraId="31846C49" w14:textId="77777777" w:rsidTr="0056451F">
        <w:trPr>
          <w:trHeight w:val="460"/>
        </w:trPr>
        <w:tc>
          <w:tcPr>
            <w:tcW w:w="8138" w:type="dxa"/>
            <w:shd w:val="clear" w:color="auto" w:fill="auto"/>
            <w:noWrap/>
            <w:vAlign w:val="bottom"/>
            <w:hideMark/>
          </w:tcPr>
          <w:p w14:paraId="5227A42F" w14:textId="3760169B" w:rsidR="0056451F" w:rsidRPr="00B6769F" w:rsidRDefault="0056451F" w:rsidP="004E2891">
            <w:pPr>
              <w:rPr>
                <w:rFonts w:ascii="Calibri" w:hAnsi="Calibri"/>
                <w:color w:val="000000"/>
                <w:sz w:val="22"/>
                <w:szCs w:val="22"/>
              </w:rPr>
            </w:pPr>
            <w:r>
              <w:rPr>
                <w:rFonts w:ascii="Calibri" w:hAnsi="Calibri"/>
                <w:color w:val="000000"/>
                <w:sz w:val="22"/>
                <w:szCs w:val="22"/>
              </w:rPr>
              <w:t>Gender</w:t>
            </w:r>
          </w:p>
        </w:tc>
        <w:tc>
          <w:tcPr>
            <w:tcW w:w="1478" w:type="dxa"/>
            <w:shd w:val="clear" w:color="auto" w:fill="auto"/>
            <w:noWrap/>
            <w:vAlign w:val="bottom"/>
            <w:hideMark/>
          </w:tcPr>
          <w:p w14:paraId="55D273AB" w14:textId="1CFD4563" w:rsidR="0056451F" w:rsidRPr="00B6769F" w:rsidRDefault="007F14D4" w:rsidP="007F14D4">
            <w:pPr>
              <w:jc w:val="center"/>
              <w:rPr>
                <w:rFonts w:ascii="Calibri" w:hAnsi="Calibri"/>
                <w:sz w:val="22"/>
                <w:szCs w:val="22"/>
              </w:rPr>
            </w:pPr>
            <w:r>
              <w:rPr>
                <w:rFonts w:ascii="Calibri" w:hAnsi="Calibri"/>
                <w:sz w:val="22"/>
                <w:szCs w:val="22"/>
              </w:rPr>
              <w:t>--</w:t>
            </w:r>
          </w:p>
        </w:tc>
        <w:tc>
          <w:tcPr>
            <w:tcW w:w="1478" w:type="dxa"/>
            <w:shd w:val="clear" w:color="auto" w:fill="auto"/>
            <w:noWrap/>
            <w:vAlign w:val="bottom"/>
            <w:hideMark/>
          </w:tcPr>
          <w:p w14:paraId="05AC43BD" w14:textId="6B2B1A5E" w:rsidR="0056451F" w:rsidRPr="00B6769F" w:rsidRDefault="007F14D4" w:rsidP="007F14D4">
            <w:pPr>
              <w:jc w:val="center"/>
              <w:rPr>
                <w:rFonts w:ascii="Calibri" w:hAnsi="Calibri"/>
                <w:sz w:val="22"/>
                <w:szCs w:val="22"/>
              </w:rPr>
            </w:pPr>
            <w:r>
              <w:rPr>
                <w:rFonts w:ascii="Calibri" w:hAnsi="Calibri"/>
                <w:sz w:val="22"/>
                <w:szCs w:val="22"/>
              </w:rPr>
              <w:t>--</w:t>
            </w:r>
          </w:p>
        </w:tc>
        <w:tc>
          <w:tcPr>
            <w:tcW w:w="1480" w:type="dxa"/>
            <w:shd w:val="clear" w:color="auto" w:fill="auto"/>
            <w:noWrap/>
            <w:vAlign w:val="bottom"/>
            <w:hideMark/>
          </w:tcPr>
          <w:p w14:paraId="3CAF4A41" w14:textId="7865DC6B" w:rsidR="0056451F" w:rsidRPr="00B6769F" w:rsidRDefault="007F14D4" w:rsidP="001002B2">
            <w:pPr>
              <w:jc w:val="center"/>
              <w:rPr>
                <w:rFonts w:ascii="Calibri" w:hAnsi="Calibri"/>
                <w:sz w:val="22"/>
                <w:szCs w:val="22"/>
              </w:rPr>
            </w:pPr>
            <w:r>
              <w:rPr>
                <w:rFonts w:ascii="Calibri" w:hAnsi="Calibri"/>
                <w:sz w:val="22"/>
                <w:szCs w:val="22"/>
              </w:rPr>
              <w:t>87.9%</w:t>
            </w:r>
          </w:p>
        </w:tc>
      </w:tr>
      <w:tr w:rsidR="0056451F" w:rsidRPr="00B6769F" w14:paraId="486FB656" w14:textId="77777777" w:rsidTr="0056451F">
        <w:trPr>
          <w:trHeight w:val="460"/>
        </w:trPr>
        <w:tc>
          <w:tcPr>
            <w:tcW w:w="8138" w:type="dxa"/>
            <w:shd w:val="clear" w:color="auto" w:fill="auto"/>
            <w:noWrap/>
            <w:vAlign w:val="bottom"/>
            <w:hideMark/>
          </w:tcPr>
          <w:p w14:paraId="7B568E98" w14:textId="77777777" w:rsidR="0056451F" w:rsidRDefault="0056451F" w:rsidP="004E2891">
            <w:pPr>
              <w:rPr>
                <w:rFonts w:ascii="Calibri" w:hAnsi="Calibri"/>
                <w:color w:val="000000"/>
                <w:sz w:val="22"/>
                <w:szCs w:val="22"/>
              </w:rPr>
            </w:pPr>
            <w:r>
              <w:rPr>
                <w:rFonts w:ascii="Calibri" w:hAnsi="Calibri"/>
                <w:color w:val="000000"/>
                <w:sz w:val="22"/>
                <w:szCs w:val="22"/>
              </w:rPr>
              <w:t xml:space="preserve">    Male</w:t>
            </w:r>
          </w:p>
          <w:p w14:paraId="403B05FC" w14:textId="5EE23A95" w:rsidR="0056451F" w:rsidRPr="00B6769F" w:rsidRDefault="0056451F" w:rsidP="004E2891">
            <w:pPr>
              <w:rPr>
                <w:rFonts w:ascii="Calibri" w:hAnsi="Calibri"/>
                <w:color w:val="000000"/>
                <w:sz w:val="22"/>
                <w:szCs w:val="22"/>
              </w:rPr>
            </w:pPr>
            <w:r>
              <w:rPr>
                <w:rFonts w:ascii="Calibri" w:hAnsi="Calibri"/>
                <w:color w:val="000000"/>
                <w:sz w:val="22"/>
                <w:szCs w:val="22"/>
              </w:rPr>
              <w:t xml:space="preserve">    Female</w:t>
            </w:r>
          </w:p>
        </w:tc>
        <w:tc>
          <w:tcPr>
            <w:tcW w:w="1478" w:type="dxa"/>
            <w:shd w:val="clear" w:color="auto" w:fill="auto"/>
            <w:noWrap/>
            <w:vAlign w:val="bottom"/>
            <w:hideMark/>
          </w:tcPr>
          <w:p w14:paraId="336169BE" w14:textId="48908110" w:rsidR="0056451F" w:rsidRPr="00B6769F" w:rsidRDefault="007F14D4" w:rsidP="007F14D4">
            <w:pPr>
              <w:jc w:val="center"/>
              <w:rPr>
                <w:rFonts w:ascii="Calibri" w:hAnsi="Calibri"/>
                <w:sz w:val="22"/>
                <w:szCs w:val="22"/>
              </w:rPr>
            </w:pPr>
            <w:r>
              <w:rPr>
                <w:rFonts w:ascii="Calibri" w:hAnsi="Calibri"/>
                <w:sz w:val="22"/>
                <w:szCs w:val="22"/>
              </w:rPr>
              <w:t>--</w:t>
            </w:r>
          </w:p>
        </w:tc>
        <w:tc>
          <w:tcPr>
            <w:tcW w:w="1478" w:type="dxa"/>
            <w:shd w:val="clear" w:color="auto" w:fill="auto"/>
            <w:noWrap/>
            <w:vAlign w:val="bottom"/>
            <w:hideMark/>
          </w:tcPr>
          <w:p w14:paraId="3B2265A8" w14:textId="205ECA77" w:rsidR="0056451F" w:rsidRPr="00B6769F" w:rsidRDefault="007F14D4" w:rsidP="007F14D4">
            <w:pPr>
              <w:jc w:val="center"/>
              <w:rPr>
                <w:sz w:val="20"/>
                <w:szCs w:val="20"/>
              </w:rPr>
            </w:pPr>
            <w:r>
              <w:rPr>
                <w:sz w:val="20"/>
                <w:szCs w:val="20"/>
              </w:rPr>
              <w:t>--</w:t>
            </w:r>
          </w:p>
        </w:tc>
        <w:tc>
          <w:tcPr>
            <w:tcW w:w="1480" w:type="dxa"/>
            <w:shd w:val="clear" w:color="auto" w:fill="auto"/>
            <w:noWrap/>
            <w:vAlign w:val="bottom"/>
            <w:hideMark/>
          </w:tcPr>
          <w:p w14:paraId="31A2AA62" w14:textId="5A236045" w:rsidR="0056451F" w:rsidRPr="00B6769F" w:rsidRDefault="007F14D4" w:rsidP="007F14D4">
            <w:pPr>
              <w:jc w:val="center"/>
              <w:rPr>
                <w:rFonts w:ascii="Calibri" w:hAnsi="Calibri"/>
                <w:sz w:val="22"/>
                <w:szCs w:val="22"/>
              </w:rPr>
            </w:pPr>
            <w:r>
              <w:rPr>
                <w:rFonts w:ascii="Calibri" w:hAnsi="Calibri"/>
                <w:sz w:val="22"/>
                <w:szCs w:val="22"/>
              </w:rPr>
              <w:t>12.1%</w:t>
            </w:r>
          </w:p>
        </w:tc>
      </w:tr>
      <w:tr w:rsidR="0056451F" w:rsidRPr="00B6769F" w14:paraId="5552FEAE" w14:textId="77777777" w:rsidTr="0056451F">
        <w:trPr>
          <w:trHeight w:val="460"/>
        </w:trPr>
        <w:tc>
          <w:tcPr>
            <w:tcW w:w="8138" w:type="dxa"/>
            <w:shd w:val="clear" w:color="auto" w:fill="auto"/>
            <w:noWrap/>
            <w:vAlign w:val="bottom"/>
            <w:hideMark/>
          </w:tcPr>
          <w:p w14:paraId="3975C0B0" w14:textId="50ACC464" w:rsidR="0056451F" w:rsidRPr="00B6769F" w:rsidRDefault="0056451F" w:rsidP="004E2891">
            <w:pPr>
              <w:rPr>
                <w:rFonts w:ascii="Calibri" w:hAnsi="Calibri"/>
                <w:color w:val="000000"/>
                <w:sz w:val="22"/>
                <w:szCs w:val="22"/>
              </w:rPr>
            </w:pPr>
            <w:r>
              <w:rPr>
                <w:rFonts w:ascii="Calibri" w:hAnsi="Calibri"/>
                <w:color w:val="000000"/>
                <w:sz w:val="22"/>
                <w:szCs w:val="22"/>
              </w:rPr>
              <w:t xml:space="preserve">Disability </w:t>
            </w:r>
          </w:p>
        </w:tc>
        <w:tc>
          <w:tcPr>
            <w:tcW w:w="1478" w:type="dxa"/>
            <w:shd w:val="clear" w:color="auto" w:fill="auto"/>
            <w:noWrap/>
            <w:vAlign w:val="bottom"/>
            <w:hideMark/>
          </w:tcPr>
          <w:p w14:paraId="756DF534" w14:textId="3CCC4715" w:rsidR="0056451F" w:rsidRPr="00B6769F" w:rsidRDefault="004A2C3F" w:rsidP="004E2891">
            <w:pPr>
              <w:rPr>
                <w:rFonts w:ascii="Calibri" w:hAnsi="Calibri"/>
                <w:sz w:val="22"/>
                <w:szCs w:val="22"/>
              </w:rPr>
            </w:pPr>
            <w:r>
              <w:rPr>
                <w:rFonts w:ascii="Calibri" w:hAnsi="Calibri"/>
                <w:sz w:val="22"/>
                <w:szCs w:val="22"/>
              </w:rPr>
              <w:t>46.25 (18.50)</w:t>
            </w:r>
          </w:p>
        </w:tc>
        <w:tc>
          <w:tcPr>
            <w:tcW w:w="1478" w:type="dxa"/>
            <w:shd w:val="clear" w:color="auto" w:fill="auto"/>
            <w:noWrap/>
            <w:vAlign w:val="bottom"/>
            <w:hideMark/>
          </w:tcPr>
          <w:p w14:paraId="1664CC52" w14:textId="5DA39D14" w:rsidR="0056451F" w:rsidRPr="00B10ED1" w:rsidRDefault="004A2C3F" w:rsidP="00B10ED1">
            <w:pPr>
              <w:jc w:val="center"/>
              <w:rPr>
                <w:rFonts w:asciiTheme="minorHAnsi" w:hAnsiTheme="minorHAnsi" w:cstheme="minorHAnsi"/>
                <w:sz w:val="22"/>
                <w:szCs w:val="22"/>
              </w:rPr>
            </w:pPr>
            <w:r w:rsidRPr="00B10ED1">
              <w:rPr>
                <w:rFonts w:asciiTheme="minorHAnsi" w:hAnsiTheme="minorHAnsi" w:cstheme="minorHAnsi"/>
                <w:sz w:val="22"/>
                <w:szCs w:val="22"/>
              </w:rPr>
              <w:t>2.17-97.83</w:t>
            </w:r>
          </w:p>
        </w:tc>
        <w:tc>
          <w:tcPr>
            <w:tcW w:w="1480" w:type="dxa"/>
            <w:shd w:val="clear" w:color="auto" w:fill="auto"/>
            <w:noWrap/>
            <w:vAlign w:val="bottom"/>
            <w:hideMark/>
          </w:tcPr>
          <w:p w14:paraId="33FF2627" w14:textId="77777777" w:rsidR="0056451F" w:rsidRPr="00B6769F" w:rsidRDefault="0056451F" w:rsidP="004E2891">
            <w:pPr>
              <w:rPr>
                <w:sz w:val="20"/>
                <w:szCs w:val="20"/>
              </w:rPr>
            </w:pPr>
          </w:p>
        </w:tc>
      </w:tr>
      <w:tr w:rsidR="0056451F" w:rsidRPr="00B6769F" w14:paraId="61B6204E" w14:textId="77777777" w:rsidTr="0056451F">
        <w:trPr>
          <w:trHeight w:val="460"/>
        </w:trPr>
        <w:tc>
          <w:tcPr>
            <w:tcW w:w="8138" w:type="dxa"/>
            <w:shd w:val="clear" w:color="auto" w:fill="auto"/>
            <w:noWrap/>
            <w:vAlign w:val="bottom"/>
            <w:hideMark/>
          </w:tcPr>
          <w:p w14:paraId="6C013CDD" w14:textId="76833995" w:rsidR="0056451F" w:rsidRPr="00B6769F" w:rsidRDefault="0056451F" w:rsidP="004E2891">
            <w:pPr>
              <w:rPr>
                <w:rFonts w:ascii="Calibri" w:hAnsi="Calibri"/>
                <w:color w:val="000000"/>
                <w:sz w:val="22"/>
                <w:szCs w:val="22"/>
              </w:rPr>
            </w:pPr>
            <w:r>
              <w:rPr>
                <w:rFonts w:ascii="Calibri" w:hAnsi="Calibri"/>
                <w:color w:val="000000"/>
                <w:sz w:val="22"/>
                <w:szCs w:val="22"/>
              </w:rPr>
              <w:t>Threat-related illness beliefs</w:t>
            </w:r>
          </w:p>
        </w:tc>
        <w:tc>
          <w:tcPr>
            <w:tcW w:w="1478" w:type="dxa"/>
            <w:shd w:val="clear" w:color="auto" w:fill="auto"/>
            <w:noWrap/>
            <w:vAlign w:val="bottom"/>
            <w:hideMark/>
          </w:tcPr>
          <w:p w14:paraId="0688DA75" w14:textId="18D7CE71" w:rsidR="0056451F" w:rsidRPr="00B6769F" w:rsidRDefault="004A2C3F" w:rsidP="004E2891">
            <w:pPr>
              <w:rPr>
                <w:rFonts w:ascii="Calibri" w:hAnsi="Calibri"/>
                <w:sz w:val="22"/>
                <w:szCs w:val="22"/>
              </w:rPr>
            </w:pPr>
            <w:r>
              <w:rPr>
                <w:rFonts w:ascii="Calibri" w:hAnsi="Calibri"/>
                <w:sz w:val="22"/>
                <w:szCs w:val="22"/>
              </w:rPr>
              <w:t>17.40 (3.65)</w:t>
            </w:r>
          </w:p>
        </w:tc>
        <w:tc>
          <w:tcPr>
            <w:tcW w:w="1478" w:type="dxa"/>
            <w:shd w:val="clear" w:color="auto" w:fill="auto"/>
            <w:noWrap/>
            <w:vAlign w:val="bottom"/>
            <w:hideMark/>
          </w:tcPr>
          <w:p w14:paraId="4B316AD5" w14:textId="1E42BB5B" w:rsidR="0056451F" w:rsidRPr="00B10ED1" w:rsidRDefault="00B10ED1" w:rsidP="00B10ED1">
            <w:pPr>
              <w:jc w:val="center"/>
              <w:rPr>
                <w:rFonts w:asciiTheme="minorHAnsi" w:hAnsiTheme="minorHAnsi" w:cstheme="minorHAnsi"/>
                <w:sz w:val="22"/>
                <w:szCs w:val="22"/>
              </w:rPr>
            </w:pPr>
            <w:r w:rsidRPr="00B10ED1">
              <w:rPr>
                <w:rFonts w:asciiTheme="minorHAnsi" w:hAnsiTheme="minorHAnsi" w:cstheme="minorHAnsi"/>
                <w:sz w:val="22"/>
                <w:szCs w:val="22"/>
              </w:rPr>
              <w:t>7.0-24.0</w:t>
            </w:r>
          </w:p>
        </w:tc>
        <w:tc>
          <w:tcPr>
            <w:tcW w:w="1480" w:type="dxa"/>
            <w:shd w:val="clear" w:color="auto" w:fill="auto"/>
            <w:noWrap/>
            <w:vAlign w:val="bottom"/>
            <w:hideMark/>
          </w:tcPr>
          <w:p w14:paraId="41DC4D4A" w14:textId="77777777" w:rsidR="0056451F" w:rsidRPr="00B6769F" w:rsidRDefault="0056451F" w:rsidP="004E2891">
            <w:pPr>
              <w:rPr>
                <w:sz w:val="20"/>
                <w:szCs w:val="20"/>
              </w:rPr>
            </w:pPr>
          </w:p>
        </w:tc>
      </w:tr>
      <w:tr w:rsidR="0056451F" w:rsidRPr="00B6769F" w14:paraId="33C3E384" w14:textId="77777777" w:rsidTr="0056451F">
        <w:trPr>
          <w:trHeight w:val="460"/>
        </w:trPr>
        <w:tc>
          <w:tcPr>
            <w:tcW w:w="8138" w:type="dxa"/>
            <w:shd w:val="clear" w:color="auto" w:fill="auto"/>
            <w:noWrap/>
            <w:vAlign w:val="bottom"/>
          </w:tcPr>
          <w:p w14:paraId="71072CA7" w14:textId="3907FFEC" w:rsidR="0056451F" w:rsidRDefault="0056451F" w:rsidP="004E2891">
            <w:pPr>
              <w:rPr>
                <w:rFonts w:ascii="Calibri" w:hAnsi="Calibri"/>
                <w:color w:val="000000"/>
                <w:sz w:val="22"/>
                <w:szCs w:val="22"/>
              </w:rPr>
            </w:pPr>
            <w:r>
              <w:rPr>
                <w:rFonts w:ascii="Calibri" w:hAnsi="Calibri"/>
                <w:color w:val="000000"/>
                <w:sz w:val="22"/>
                <w:szCs w:val="22"/>
              </w:rPr>
              <w:t>Protective illness beliefs</w:t>
            </w:r>
          </w:p>
        </w:tc>
        <w:tc>
          <w:tcPr>
            <w:tcW w:w="1478" w:type="dxa"/>
            <w:shd w:val="clear" w:color="auto" w:fill="auto"/>
            <w:noWrap/>
            <w:vAlign w:val="bottom"/>
          </w:tcPr>
          <w:p w14:paraId="3B48E400" w14:textId="4DFA7DC8" w:rsidR="0056451F" w:rsidRPr="00B6769F" w:rsidRDefault="004A2C3F" w:rsidP="004E2891">
            <w:pPr>
              <w:rPr>
                <w:rFonts w:ascii="Calibri" w:hAnsi="Calibri"/>
                <w:sz w:val="22"/>
                <w:szCs w:val="22"/>
              </w:rPr>
            </w:pPr>
            <w:r>
              <w:rPr>
                <w:rFonts w:ascii="Calibri" w:hAnsi="Calibri"/>
                <w:sz w:val="22"/>
                <w:szCs w:val="22"/>
              </w:rPr>
              <w:t>12.28 (3.68)</w:t>
            </w:r>
          </w:p>
        </w:tc>
        <w:tc>
          <w:tcPr>
            <w:tcW w:w="1478" w:type="dxa"/>
            <w:shd w:val="clear" w:color="auto" w:fill="auto"/>
            <w:noWrap/>
            <w:vAlign w:val="bottom"/>
          </w:tcPr>
          <w:p w14:paraId="765FAC0A" w14:textId="0828FCCE" w:rsidR="0056451F" w:rsidRPr="00B10ED1" w:rsidRDefault="00B10ED1" w:rsidP="00B10ED1">
            <w:pPr>
              <w:jc w:val="center"/>
              <w:rPr>
                <w:rFonts w:asciiTheme="minorHAnsi" w:hAnsiTheme="minorHAnsi" w:cstheme="minorHAnsi"/>
                <w:sz w:val="22"/>
                <w:szCs w:val="22"/>
              </w:rPr>
            </w:pPr>
            <w:r>
              <w:rPr>
                <w:rFonts w:asciiTheme="minorHAnsi" w:hAnsiTheme="minorHAnsi" w:cstheme="minorHAnsi"/>
                <w:sz w:val="22"/>
                <w:szCs w:val="22"/>
              </w:rPr>
              <w:t>0-22.33</w:t>
            </w:r>
          </w:p>
        </w:tc>
        <w:tc>
          <w:tcPr>
            <w:tcW w:w="1480" w:type="dxa"/>
            <w:shd w:val="clear" w:color="auto" w:fill="auto"/>
            <w:noWrap/>
            <w:vAlign w:val="bottom"/>
          </w:tcPr>
          <w:p w14:paraId="4F57E5E1" w14:textId="77777777" w:rsidR="0056451F" w:rsidRPr="00B6769F" w:rsidRDefault="0056451F" w:rsidP="004E2891">
            <w:pPr>
              <w:rPr>
                <w:sz w:val="20"/>
                <w:szCs w:val="20"/>
              </w:rPr>
            </w:pPr>
          </w:p>
        </w:tc>
      </w:tr>
      <w:tr w:rsidR="0056451F" w:rsidRPr="00B6769F" w14:paraId="450CA533" w14:textId="77777777" w:rsidTr="0056451F">
        <w:trPr>
          <w:trHeight w:val="460"/>
        </w:trPr>
        <w:tc>
          <w:tcPr>
            <w:tcW w:w="8138" w:type="dxa"/>
            <w:shd w:val="clear" w:color="auto" w:fill="auto"/>
            <w:noWrap/>
            <w:vAlign w:val="bottom"/>
          </w:tcPr>
          <w:p w14:paraId="545E0868" w14:textId="5A7D751E" w:rsidR="0056451F" w:rsidRDefault="0056451F" w:rsidP="004E2891">
            <w:pPr>
              <w:rPr>
                <w:rFonts w:ascii="Calibri" w:hAnsi="Calibri"/>
                <w:color w:val="000000"/>
                <w:sz w:val="22"/>
                <w:szCs w:val="22"/>
              </w:rPr>
            </w:pPr>
            <w:r>
              <w:rPr>
                <w:rFonts w:ascii="Calibri" w:hAnsi="Calibri"/>
                <w:color w:val="000000"/>
                <w:sz w:val="22"/>
                <w:szCs w:val="22"/>
              </w:rPr>
              <w:t>All-or-nothing behavior</w:t>
            </w:r>
          </w:p>
        </w:tc>
        <w:tc>
          <w:tcPr>
            <w:tcW w:w="1478" w:type="dxa"/>
            <w:shd w:val="clear" w:color="auto" w:fill="auto"/>
            <w:noWrap/>
            <w:vAlign w:val="bottom"/>
          </w:tcPr>
          <w:p w14:paraId="36756662" w14:textId="50A9B8D8" w:rsidR="0056451F" w:rsidRPr="00B6769F" w:rsidRDefault="004A2C3F" w:rsidP="004E2891">
            <w:pPr>
              <w:rPr>
                <w:rFonts w:ascii="Calibri" w:hAnsi="Calibri"/>
                <w:sz w:val="22"/>
                <w:szCs w:val="22"/>
              </w:rPr>
            </w:pPr>
            <w:r>
              <w:rPr>
                <w:rFonts w:ascii="Calibri" w:hAnsi="Calibri"/>
                <w:sz w:val="22"/>
                <w:szCs w:val="22"/>
              </w:rPr>
              <w:t>2.16 (0.80)</w:t>
            </w:r>
          </w:p>
        </w:tc>
        <w:tc>
          <w:tcPr>
            <w:tcW w:w="1478" w:type="dxa"/>
            <w:shd w:val="clear" w:color="auto" w:fill="auto"/>
            <w:noWrap/>
            <w:vAlign w:val="bottom"/>
          </w:tcPr>
          <w:p w14:paraId="50E586F5" w14:textId="27165189" w:rsidR="0056451F" w:rsidRPr="00B10ED1" w:rsidRDefault="00B10ED1" w:rsidP="00B10ED1">
            <w:pPr>
              <w:jc w:val="center"/>
              <w:rPr>
                <w:rFonts w:asciiTheme="minorHAnsi" w:hAnsiTheme="minorHAnsi" w:cstheme="minorHAnsi"/>
                <w:sz w:val="22"/>
                <w:szCs w:val="22"/>
              </w:rPr>
            </w:pPr>
            <w:r>
              <w:rPr>
                <w:rFonts w:asciiTheme="minorHAnsi" w:hAnsiTheme="minorHAnsi" w:cstheme="minorHAnsi"/>
                <w:sz w:val="22"/>
                <w:szCs w:val="22"/>
              </w:rPr>
              <w:t>.17-4.0</w:t>
            </w:r>
          </w:p>
        </w:tc>
        <w:tc>
          <w:tcPr>
            <w:tcW w:w="1480" w:type="dxa"/>
            <w:shd w:val="clear" w:color="auto" w:fill="auto"/>
            <w:noWrap/>
            <w:vAlign w:val="bottom"/>
          </w:tcPr>
          <w:p w14:paraId="1077382D" w14:textId="77777777" w:rsidR="0056451F" w:rsidRPr="00B6769F" w:rsidRDefault="0056451F" w:rsidP="004E2891">
            <w:pPr>
              <w:rPr>
                <w:sz w:val="20"/>
                <w:szCs w:val="20"/>
              </w:rPr>
            </w:pPr>
          </w:p>
        </w:tc>
      </w:tr>
      <w:tr w:rsidR="0056451F" w:rsidRPr="00B6769F" w14:paraId="0C7AE508" w14:textId="77777777" w:rsidTr="0056451F">
        <w:trPr>
          <w:trHeight w:val="460"/>
        </w:trPr>
        <w:tc>
          <w:tcPr>
            <w:tcW w:w="8138" w:type="dxa"/>
            <w:shd w:val="clear" w:color="auto" w:fill="auto"/>
            <w:noWrap/>
            <w:vAlign w:val="bottom"/>
          </w:tcPr>
          <w:p w14:paraId="6DBE51EC" w14:textId="2C3940FC" w:rsidR="0056451F" w:rsidRDefault="0056451F" w:rsidP="004E2891">
            <w:pPr>
              <w:rPr>
                <w:rFonts w:ascii="Calibri" w:hAnsi="Calibri"/>
                <w:color w:val="000000"/>
                <w:sz w:val="22"/>
                <w:szCs w:val="22"/>
              </w:rPr>
            </w:pPr>
            <w:r>
              <w:rPr>
                <w:rFonts w:ascii="Calibri" w:hAnsi="Calibri"/>
                <w:color w:val="000000"/>
                <w:sz w:val="22"/>
                <w:szCs w:val="22"/>
              </w:rPr>
              <w:t>Limiting behavior</w:t>
            </w:r>
          </w:p>
        </w:tc>
        <w:tc>
          <w:tcPr>
            <w:tcW w:w="1478" w:type="dxa"/>
            <w:shd w:val="clear" w:color="auto" w:fill="auto"/>
            <w:noWrap/>
            <w:vAlign w:val="bottom"/>
          </w:tcPr>
          <w:p w14:paraId="3959B68F" w14:textId="34D9D8B2" w:rsidR="0056451F" w:rsidRPr="00B6769F" w:rsidRDefault="004A2C3F" w:rsidP="004E2891">
            <w:pPr>
              <w:rPr>
                <w:rFonts w:ascii="Calibri" w:hAnsi="Calibri"/>
                <w:sz w:val="22"/>
                <w:szCs w:val="22"/>
              </w:rPr>
            </w:pPr>
            <w:r>
              <w:rPr>
                <w:rFonts w:ascii="Calibri" w:hAnsi="Calibri"/>
                <w:sz w:val="22"/>
                <w:szCs w:val="22"/>
              </w:rPr>
              <w:t>2.11 (0.71)</w:t>
            </w:r>
          </w:p>
        </w:tc>
        <w:tc>
          <w:tcPr>
            <w:tcW w:w="1478" w:type="dxa"/>
            <w:shd w:val="clear" w:color="auto" w:fill="auto"/>
            <w:noWrap/>
            <w:vAlign w:val="bottom"/>
          </w:tcPr>
          <w:p w14:paraId="41BD4E1C" w14:textId="4696ED31" w:rsidR="0056451F" w:rsidRPr="00B10ED1" w:rsidRDefault="00B10ED1" w:rsidP="00B10ED1">
            <w:pPr>
              <w:jc w:val="center"/>
              <w:rPr>
                <w:rFonts w:asciiTheme="minorHAnsi" w:hAnsiTheme="minorHAnsi" w:cstheme="minorHAnsi"/>
                <w:sz w:val="22"/>
                <w:szCs w:val="22"/>
              </w:rPr>
            </w:pPr>
            <w:r>
              <w:rPr>
                <w:rFonts w:asciiTheme="minorHAnsi" w:hAnsiTheme="minorHAnsi" w:cstheme="minorHAnsi"/>
                <w:sz w:val="22"/>
                <w:szCs w:val="22"/>
              </w:rPr>
              <w:t>.20-4.0</w:t>
            </w:r>
          </w:p>
        </w:tc>
        <w:tc>
          <w:tcPr>
            <w:tcW w:w="1480" w:type="dxa"/>
            <w:shd w:val="clear" w:color="auto" w:fill="auto"/>
            <w:noWrap/>
            <w:vAlign w:val="bottom"/>
          </w:tcPr>
          <w:p w14:paraId="166A70ED" w14:textId="77777777" w:rsidR="0056451F" w:rsidRPr="00B6769F" w:rsidRDefault="0056451F" w:rsidP="004E2891">
            <w:pPr>
              <w:rPr>
                <w:sz w:val="20"/>
                <w:szCs w:val="20"/>
              </w:rPr>
            </w:pPr>
          </w:p>
        </w:tc>
      </w:tr>
      <w:tr w:rsidR="0056451F" w:rsidRPr="00B6769F" w14:paraId="3E9CC3A2" w14:textId="77777777" w:rsidTr="0056451F">
        <w:trPr>
          <w:trHeight w:val="460"/>
        </w:trPr>
        <w:tc>
          <w:tcPr>
            <w:tcW w:w="8138" w:type="dxa"/>
            <w:shd w:val="clear" w:color="auto" w:fill="auto"/>
            <w:noWrap/>
            <w:vAlign w:val="bottom"/>
          </w:tcPr>
          <w:p w14:paraId="5081E4E8" w14:textId="3D8FBCC9" w:rsidR="0056451F" w:rsidRDefault="0056451F" w:rsidP="004E2891">
            <w:pPr>
              <w:rPr>
                <w:rFonts w:ascii="Calibri" w:hAnsi="Calibri"/>
                <w:color w:val="000000"/>
                <w:sz w:val="22"/>
                <w:szCs w:val="22"/>
              </w:rPr>
            </w:pPr>
            <w:r>
              <w:rPr>
                <w:rFonts w:ascii="Calibri" w:hAnsi="Calibri"/>
                <w:color w:val="000000"/>
                <w:sz w:val="22"/>
                <w:szCs w:val="22"/>
              </w:rPr>
              <w:t>Practical support seeking</w:t>
            </w:r>
          </w:p>
        </w:tc>
        <w:tc>
          <w:tcPr>
            <w:tcW w:w="1478" w:type="dxa"/>
            <w:shd w:val="clear" w:color="auto" w:fill="auto"/>
            <w:noWrap/>
            <w:vAlign w:val="bottom"/>
          </w:tcPr>
          <w:p w14:paraId="223765AF" w14:textId="069157FD" w:rsidR="0056451F" w:rsidRPr="00B6769F" w:rsidRDefault="004A2C3F" w:rsidP="004E2891">
            <w:pPr>
              <w:rPr>
                <w:rFonts w:ascii="Calibri" w:hAnsi="Calibri"/>
                <w:sz w:val="22"/>
                <w:szCs w:val="22"/>
              </w:rPr>
            </w:pPr>
            <w:r>
              <w:rPr>
                <w:rFonts w:ascii="Calibri" w:hAnsi="Calibri"/>
                <w:sz w:val="22"/>
                <w:szCs w:val="22"/>
              </w:rPr>
              <w:t>0.87 (0.88)</w:t>
            </w:r>
          </w:p>
        </w:tc>
        <w:tc>
          <w:tcPr>
            <w:tcW w:w="1478" w:type="dxa"/>
            <w:shd w:val="clear" w:color="auto" w:fill="auto"/>
            <w:noWrap/>
            <w:vAlign w:val="bottom"/>
          </w:tcPr>
          <w:p w14:paraId="4244B667" w14:textId="12BA8562" w:rsidR="0056451F" w:rsidRPr="00B10ED1" w:rsidRDefault="00B10ED1" w:rsidP="00B10ED1">
            <w:pPr>
              <w:jc w:val="center"/>
              <w:rPr>
                <w:rFonts w:asciiTheme="minorHAnsi" w:hAnsiTheme="minorHAnsi" w:cstheme="minorHAnsi"/>
                <w:sz w:val="22"/>
                <w:szCs w:val="22"/>
              </w:rPr>
            </w:pPr>
            <w:r>
              <w:rPr>
                <w:rFonts w:asciiTheme="minorHAnsi" w:hAnsiTheme="minorHAnsi" w:cstheme="minorHAnsi"/>
                <w:sz w:val="22"/>
                <w:szCs w:val="22"/>
              </w:rPr>
              <w:t>0-4.0</w:t>
            </w:r>
          </w:p>
        </w:tc>
        <w:tc>
          <w:tcPr>
            <w:tcW w:w="1480" w:type="dxa"/>
            <w:shd w:val="clear" w:color="auto" w:fill="auto"/>
            <w:noWrap/>
            <w:vAlign w:val="bottom"/>
          </w:tcPr>
          <w:p w14:paraId="6116605D" w14:textId="77777777" w:rsidR="0056451F" w:rsidRPr="00B6769F" w:rsidRDefault="0056451F" w:rsidP="004E2891">
            <w:pPr>
              <w:rPr>
                <w:sz w:val="20"/>
                <w:szCs w:val="20"/>
              </w:rPr>
            </w:pPr>
          </w:p>
        </w:tc>
      </w:tr>
      <w:tr w:rsidR="0056451F" w:rsidRPr="00B6769F" w14:paraId="0E14BEA2" w14:textId="77777777" w:rsidTr="0056451F">
        <w:trPr>
          <w:trHeight w:val="460"/>
        </w:trPr>
        <w:tc>
          <w:tcPr>
            <w:tcW w:w="8138" w:type="dxa"/>
            <w:tcBorders>
              <w:bottom w:val="single" w:sz="4" w:space="0" w:color="auto"/>
            </w:tcBorders>
            <w:shd w:val="clear" w:color="auto" w:fill="auto"/>
            <w:noWrap/>
            <w:vAlign w:val="bottom"/>
            <w:hideMark/>
          </w:tcPr>
          <w:p w14:paraId="23022F46" w14:textId="13AAF413" w:rsidR="0056451F" w:rsidRPr="00B6769F" w:rsidRDefault="0056451F" w:rsidP="004E2891">
            <w:pPr>
              <w:rPr>
                <w:rFonts w:ascii="Calibri" w:hAnsi="Calibri"/>
                <w:color w:val="000000"/>
                <w:sz w:val="22"/>
                <w:szCs w:val="22"/>
              </w:rPr>
            </w:pPr>
            <w:r>
              <w:rPr>
                <w:rFonts w:ascii="Calibri" w:hAnsi="Calibri"/>
                <w:color w:val="000000"/>
                <w:sz w:val="22"/>
                <w:szCs w:val="22"/>
              </w:rPr>
              <w:t>Emotional support seeking</w:t>
            </w:r>
          </w:p>
        </w:tc>
        <w:tc>
          <w:tcPr>
            <w:tcW w:w="1478" w:type="dxa"/>
            <w:tcBorders>
              <w:bottom w:val="single" w:sz="4" w:space="0" w:color="auto"/>
            </w:tcBorders>
            <w:shd w:val="clear" w:color="auto" w:fill="auto"/>
            <w:noWrap/>
            <w:vAlign w:val="bottom"/>
            <w:hideMark/>
          </w:tcPr>
          <w:p w14:paraId="25DC493A" w14:textId="5788E678" w:rsidR="0056451F" w:rsidRPr="00B6769F" w:rsidRDefault="004A2C3F" w:rsidP="004E2891">
            <w:pPr>
              <w:rPr>
                <w:rFonts w:ascii="Calibri" w:hAnsi="Calibri"/>
                <w:sz w:val="22"/>
                <w:szCs w:val="22"/>
              </w:rPr>
            </w:pPr>
            <w:r>
              <w:rPr>
                <w:rFonts w:ascii="Calibri" w:hAnsi="Calibri"/>
                <w:sz w:val="22"/>
                <w:szCs w:val="22"/>
              </w:rPr>
              <w:t>0.59 (0.71)</w:t>
            </w:r>
          </w:p>
        </w:tc>
        <w:tc>
          <w:tcPr>
            <w:tcW w:w="1478" w:type="dxa"/>
            <w:tcBorders>
              <w:bottom w:val="single" w:sz="4" w:space="0" w:color="auto"/>
            </w:tcBorders>
            <w:shd w:val="clear" w:color="auto" w:fill="auto"/>
            <w:noWrap/>
            <w:vAlign w:val="bottom"/>
            <w:hideMark/>
          </w:tcPr>
          <w:p w14:paraId="0EF203C6" w14:textId="29E162C5" w:rsidR="0056451F" w:rsidRPr="00B10ED1" w:rsidRDefault="00B10ED1" w:rsidP="00B10ED1">
            <w:pPr>
              <w:jc w:val="center"/>
              <w:rPr>
                <w:rFonts w:asciiTheme="minorHAnsi" w:hAnsiTheme="minorHAnsi" w:cstheme="minorHAnsi"/>
                <w:sz w:val="22"/>
                <w:szCs w:val="22"/>
              </w:rPr>
            </w:pPr>
            <w:r>
              <w:rPr>
                <w:rFonts w:asciiTheme="minorHAnsi" w:hAnsiTheme="minorHAnsi" w:cstheme="minorHAnsi"/>
                <w:sz w:val="22"/>
                <w:szCs w:val="22"/>
              </w:rPr>
              <w:t>0-4.0</w:t>
            </w:r>
          </w:p>
        </w:tc>
        <w:tc>
          <w:tcPr>
            <w:tcW w:w="1480" w:type="dxa"/>
            <w:tcBorders>
              <w:bottom w:val="single" w:sz="4" w:space="0" w:color="auto"/>
            </w:tcBorders>
            <w:shd w:val="clear" w:color="auto" w:fill="auto"/>
            <w:noWrap/>
            <w:vAlign w:val="bottom"/>
            <w:hideMark/>
          </w:tcPr>
          <w:p w14:paraId="75878444" w14:textId="77777777" w:rsidR="0056451F" w:rsidRPr="00B6769F" w:rsidRDefault="0056451F" w:rsidP="004E2891">
            <w:pPr>
              <w:rPr>
                <w:sz w:val="20"/>
                <w:szCs w:val="20"/>
              </w:rPr>
            </w:pPr>
          </w:p>
        </w:tc>
      </w:tr>
    </w:tbl>
    <w:p w14:paraId="008DC958" w14:textId="586E95C7" w:rsidR="00CE6DBC" w:rsidRDefault="00CE6DBC"/>
    <w:p w14:paraId="6C9AD7AB" w14:textId="0B509AE2" w:rsidR="00694E4B" w:rsidRDefault="00694E4B" w:rsidP="00694E4B"/>
    <w:p w14:paraId="2E5288F9" w14:textId="2F5D8D21" w:rsidR="00694E4B" w:rsidRDefault="00694E4B" w:rsidP="00694E4B"/>
    <w:p w14:paraId="32FBE835" w14:textId="0507FC18" w:rsidR="00694E4B" w:rsidRDefault="00694E4B" w:rsidP="00694E4B"/>
    <w:p w14:paraId="1E5ED919" w14:textId="37BB4649" w:rsidR="00694E4B" w:rsidRDefault="00694E4B" w:rsidP="00694E4B"/>
    <w:p w14:paraId="26842CD2" w14:textId="37B84703" w:rsidR="00694E4B" w:rsidRDefault="00694E4B" w:rsidP="00694E4B"/>
    <w:p w14:paraId="338905F2" w14:textId="2AB5F62C" w:rsidR="00694E4B" w:rsidRDefault="00694E4B" w:rsidP="00694E4B"/>
    <w:p w14:paraId="21B1C6FC" w14:textId="3C2B7296" w:rsidR="00694E4B" w:rsidRDefault="00694E4B" w:rsidP="00694E4B"/>
    <w:p w14:paraId="69D7B171" w14:textId="12BF2ACC" w:rsidR="00694E4B" w:rsidRDefault="00694E4B" w:rsidP="00694E4B"/>
    <w:p w14:paraId="4AD9996B" w14:textId="18DF7863" w:rsidR="00694E4B" w:rsidRDefault="00694E4B" w:rsidP="00694E4B"/>
    <w:p w14:paraId="501A31A0" w14:textId="17EEA1CA" w:rsidR="00694E4B" w:rsidRDefault="00694E4B" w:rsidP="00694E4B"/>
    <w:p w14:paraId="38C193FB" w14:textId="7556D69A" w:rsidR="00694E4B" w:rsidRDefault="00694E4B" w:rsidP="00694E4B"/>
    <w:tbl>
      <w:tblPr>
        <w:tblpPr w:leftFromText="180" w:rightFromText="180" w:vertAnchor="page" w:horzAnchor="margin" w:tblpY="1441"/>
        <w:tblW w:w="12460" w:type="dxa"/>
        <w:tblLook w:val="04A0" w:firstRow="1" w:lastRow="0" w:firstColumn="1" w:lastColumn="0" w:noHBand="0" w:noVBand="1"/>
      </w:tblPr>
      <w:tblGrid>
        <w:gridCol w:w="5721"/>
        <w:gridCol w:w="1039"/>
        <w:gridCol w:w="1039"/>
        <w:gridCol w:w="1040"/>
        <w:gridCol w:w="1207"/>
        <w:gridCol w:w="1207"/>
        <w:gridCol w:w="1207"/>
      </w:tblGrid>
      <w:tr w:rsidR="00CE6DBC" w:rsidRPr="00B6769F" w14:paraId="2C4C4F5E" w14:textId="77777777" w:rsidTr="00CE6DBC">
        <w:trPr>
          <w:trHeight w:val="332"/>
        </w:trPr>
        <w:tc>
          <w:tcPr>
            <w:tcW w:w="8839" w:type="dxa"/>
            <w:gridSpan w:val="4"/>
            <w:tcBorders>
              <w:top w:val="nil"/>
              <w:left w:val="nil"/>
              <w:bottom w:val="single" w:sz="4" w:space="0" w:color="auto"/>
              <w:right w:val="nil"/>
            </w:tcBorders>
            <w:shd w:val="clear" w:color="auto" w:fill="auto"/>
            <w:noWrap/>
            <w:vAlign w:val="bottom"/>
            <w:hideMark/>
          </w:tcPr>
          <w:p w14:paraId="310C494A" w14:textId="77777777" w:rsidR="00CE6DBC" w:rsidRPr="00B6769F" w:rsidRDefault="00CE6DBC" w:rsidP="00CE6DBC">
            <w:pPr>
              <w:rPr>
                <w:rFonts w:ascii="Calibri" w:hAnsi="Calibri"/>
                <w:color w:val="000000"/>
                <w:sz w:val="22"/>
                <w:szCs w:val="22"/>
              </w:rPr>
            </w:pPr>
            <w:r w:rsidRPr="00B6769F">
              <w:rPr>
                <w:rFonts w:ascii="Calibri" w:hAnsi="Calibri"/>
                <w:color w:val="000000"/>
                <w:sz w:val="22"/>
                <w:szCs w:val="22"/>
              </w:rPr>
              <w:lastRenderedPageBreak/>
              <w:t xml:space="preserve">Table </w:t>
            </w:r>
            <w:r>
              <w:rPr>
                <w:rFonts w:ascii="Calibri" w:hAnsi="Calibri"/>
                <w:color w:val="000000"/>
                <w:sz w:val="22"/>
                <w:szCs w:val="22"/>
              </w:rPr>
              <w:t>2</w:t>
            </w:r>
            <w:r w:rsidRPr="00B6769F">
              <w:rPr>
                <w:rFonts w:ascii="Calibri" w:hAnsi="Calibri"/>
                <w:color w:val="000000"/>
                <w:sz w:val="22"/>
                <w:szCs w:val="22"/>
              </w:rPr>
              <w:t>. Pearson correlations between the measures (N=248)</w:t>
            </w:r>
          </w:p>
        </w:tc>
        <w:tc>
          <w:tcPr>
            <w:tcW w:w="1207" w:type="dxa"/>
            <w:tcBorders>
              <w:top w:val="nil"/>
              <w:left w:val="nil"/>
              <w:bottom w:val="single" w:sz="4" w:space="0" w:color="auto"/>
              <w:right w:val="nil"/>
            </w:tcBorders>
            <w:shd w:val="clear" w:color="auto" w:fill="auto"/>
            <w:noWrap/>
            <w:vAlign w:val="bottom"/>
            <w:hideMark/>
          </w:tcPr>
          <w:p w14:paraId="3F646995" w14:textId="77777777" w:rsidR="00CE6DBC" w:rsidRPr="00B6769F" w:rsidRDefault="00CE6DBC" w:rsidP="00CE6DBC">
            <w:pPr>
              <w:rPr>
                <w:rFonts w:ascii="Calibri" w:hAnsi="Calibri"/>
                <w:color w:val="000000"/>
                <w:sz w:val="22"/>
                <w:szCs w:val="22"/>
              </w:rPr>
            </w:pPr>
          </w:p>
        </w:tc>
        <w:tc>
          <w:tcPr>
            <w:tcW w:w="1207" w:type="dxa"/>
            <w:tcBorders>
              <w:top w:val="nil"/>
              <w:left w:val="nil"/>
              <w:bottom w:val="single" w:sz="4" w:space="0" w:color="auto"/>
              <w:right w:val="nil"/>
            </w:tcBorders>
            <w:shd w:val="clear" w:color="auto" w:fill="auto"/>
            <w:noWrap/>
            <w:vAlign w:val="bottom"/>
            <w:hideMark/>
          </w:tcPr>
          <w:p w14:paraId="0A3360D5" w14:textId="77777777" w:rsidR="00CE6DBC" w:rsidRPr="00B6769F" w:rsidRDefault="00CE6DBC" w:rsidP="00CE6DBC">
            <w:pPr>
              <w:rPr>
                <w:sz w:val="20"/>
                <w:szCs w:val="20"/>
              </w:rPr>
            </w:pPr>
          </w:p>
        </w:tc>
        <w:tc>
          <w:tcPr>
            <w:tcW w:w="1207" w:type="dxa"/>
            <w:tcBorders>
              <w:top w:val="nil"/>
              <w:left w:val="nil"/>
              <w:bottom w:val="single" w:sz="4" w:space="0" w:color="auto"/>
              <w:right w:val="nil"/>
            </w:tcBorders>
            <w:shd w:val="clear" w:color="auto" w:fill="auto"/>
            <w:noWrap/>
            <w:vAlign w:val="bottom"/>
            <w:hideMark/>
          </w:tcPr>
          <w:p w14:paraId="70168DD6" w14:textId="77777777" w:rsidR="00CE6DBC" w:rsidRPr="00B6769F" w:rsidRDefault="00CE6DBC" w:rsidP="00CE6DBC">
            <w:pPr>
              <w:rPr>
                <w:sz w:val="20"/>
                <w:szCs w:val="20"/>
              </w:rPr>
            </w:pPr>
          </w:p>
        </w:tc>
      </w:tr>
      <w:tr w:rsidR="00CE6DBC" w:rsidRPr="00B6769F" w14:paraId="3F8D3DE8" w14:textId="77777777" w:rsidTr="00CE6DBC">
        <w:trPr>
          <w:trHeight w:val="332"/>
        </w:trPr>
        <w:tc>
          <w:tcPr>
            <w:tcW w:w="5721" w:type="dxa"/>
            <w:tcBorders>
              <w:top w:val="single" w:sz="4" w:space="0" w:color="auto"/>
              <w:left w:val="nil"/>
              <w:bottom w:val="single" w:sz="4" w:space="0" w:color="auto"/>
              <w:right w:val="nil"/>
            </w:tcBorders>
            <w:shd w:val="clear" w:color="auto" w:fill="auto"/>
            <w:noWrap/>
            <w:vAlign w:val="bottom"/>
            <w:hideMark/>
          </w:tcPr>
          <w:p w14:paraId="068D901C" w14:textId="77777777" w:rsidR="00CE6DBC" w:rsidRPr="00B6769F" w:rsidRDefault="00CE6DBC" w:rsidP="00CE6DBC">
            <w:pPr>
              <w:jc w:val="center"/>
              <w:rPr>
                <w:sz w:val="20"/>
                <w:szCs w:val="20"/>
              </w:rPr>
            </w:pPr>
          </w:p>
        </w:tc>
        <w:tc>
          <w:tcPr>
            <w:tcW w:w="1039" w:type="dxa"/>
            <w:tcBorders>
              <w:top w:val="single" w:sz="4" w:space="0" w:color="auto"/>
              <w:left w:val="nil"/>
              <w:bottom w:val="single" w:sz="4" w:space="0" w:color="auto"/>
              <w:right w:val="nil"/>
            </w:tcBorders>
            <w:shd w:val="clear" w:color="auto" w:fill="auto"/>
            <w:noWrap/>
            <w:vAlign w:val="bottom"/>
            <w:hideMark/>
          </w:tcPr>
          <w:p w14:paraId="7FDE362B" w14:textId="77777777" w:rsidR="00CE6DBC" w:rsidRPr="00B6769F" w:rsidRDefault="00CE6DBC" w:rsidP="00CE6DBC">
            <w:pPr>
              <w:jc w:val="center"/>
              <w:rPr>
                <w:rFonts w:ascii="Calibri" w:hAnsi="Calibri"/>
                <w:color w:val="000000"/>
                <w:sz w:val="22"/>
                <w:szCs w:val="22"/>
              </w:rPr>
            </w:pPr>
            <w:r w:rsidRPr="00B6769F">
              <w:rPr>
                <w:rFonts w:ascii="Calibri" w:hAnsi="Calibri"/>
                <w:color w:val="000000"/>
                <w:sz w:val="22"/>
                <w:szCs w:val="22"/>
              </w:rPr>
              <w:t>2</w:t>
            </w:r>
          </w:p>
        </w:tc>
        <w:tc>
          <w:tcPr>
            <w:tcW w:w="1039" w:type="dxa"/>
            <w:tcBorders>
              <w:top w:val="single" w:sz="4" w:space="0" w:color="auto"/>
              <w:left w:val="nil"/>
              <w:bottom w:val="single" w:sz="4" w:space="0" w:color="auto"/>
              <w:right w:val="nil"/>
            </w:tcBorders>
            <w:shd w:val="clear" w:color="auto" w:fill="auto"/>
            <w:noWrap/>
            <w:vAlign w:val="bottom"/>
            <w:hideMark/>
          </w:tcPr>
          <w:p w14:paraId="0AD11213" w14:textId="77777777" w:rsidR="00CE6DBC" w:rsidRPr="00B6769F" w:rsidRDefault="00CE6DBC" w:rsidP="00CE6DBC">
            <w:pPr>
              <w:jc w:val="center"/>
              <w:rPr>
                <w:rFonts w:ascii="Calibri" w:hAnsi="Calibri"/>
                <w:color w:val="000000"/>
                <w:sz w:val="22"/>
                <w:szCs w:val="22"/>
              </w:rPr>
            </w:pPr>
            <w:r w:rsidRPr="00B6769F">
              <w:rPr>
                <w:rFonts w:ascii="Calibri" w:hAnsi="Calibri"/>
                <w:color w:val="000000"/>
                <w:sz w:val="22"/>
                <w:szCs w:val="22"/>
              </w:rPr>
              <w:t>3</w:t>
            </w:r>
          </w:p>
        </w:tc>
        <w:tc>
          <w:tcPr>
            <w:tcW w:w="1040" w:type="dxa"/>
            <w:tcBorders>
              <w:top w:val="single" w:sz="4" w:space="0" w:color="auto"/>
              <w:left w:val="nil"/>
              <w:bottom w:val="single" w:sz="4" w:space="0" w:color="auto"/>
              <w:right w:val="nil"/>
            </w:tcBorders>
            <w:shd w:val="clear" w:color="auto" w:fill="auto"/>
            <w:noWrap/>
            <w:vAlign w:val="bottom"/>
            <w:hideMark/>
          </w:tcPr>
          <w:p w14:paraId="11AF1F86" w14:textId="77777777" w:rsidR="00CE6DBC" w:rsidRPr="00B6769F" w:rsidRDefault="00CE6DBC" w:rsidP="00CE6DBC">
            <w:pPr>
              <w:jc w:val="center"/>
              <w:rPr>
                <w:rFonts w:ascii="Calibri" w:hAnsi="Calibri"/>
                <w:color w:val="000000"/>
                <w:sz w:val="22"/>
                <w:szCs w:val="22"/>
              </w:rPr>
            </w:pPr>
            <w:r w:rsidRPr="00B6769F">
              <w:rPr>
                <w:rFonts w:ascii="Calibri" w:hAnsi="Calibri"/>
                <w:color w:val="000000"/>
                <w:sz w:val="22"/>
                <w:szCs w:val="22"/>
              </w:rPr>
              <w:t>4</w:t>
            </w:r>
          </w:p>
        </w:tc>
        <w:tc>
          <w:tcPr>
            <w:tcW w:w="1207" w:type="dxa"/>
            <w:tcBorders>
              <w:top w:val="single" w:sz="4" w:space="0" w:color="auto"/>
              <w:left w:val="nil"/>
              <w:bottom w:val="single" w:sz="4" w:space="0" w:color="auto"/>
              <w:right w:val="nil"/>
            </w:tcBorders>
            <w:shd w:val="clear" w:color="auto" w:fill="auto"/>
            <w:noWrap/>
            <w:vAlign w:val="bottom"/>
            <w:hideMark/>
          </w:tcPr>
          <w:p w14:paraId="06590923" w14:textId="77777777" w:rsidR="00CE6DBC" w:rsidRPr="00B6769F" w:rsidRDefault="00CE6DBC" w:rsidP="00CE6DBC">
            <w:pPr>
              <w:jc w:val="center"/>
              <w:rPr>
                <w:rFonts w:ascii="Calibri" w:hAnsi="Calibri"/>
                <w:color w:val="000000"/>
                <w:sz w:val="22"/>
                <w:szCs w:val="22"/>
              </w:rPr>
            </w:pPr>
            <w:r w:rsidRPr="00B6769F">
              <w:rPr>
                <w:rFonts w:ascii="Calibri" w:hAnsi="Calibri"/>
                <w:color w:val="000000"/>
                <w:sz w:val="22"/>
                <w:szCs w:val="22"/>
              </w:rPr>
              <w:t>5</w:t>
            </w:r>
          </w:p>
        </w:tc>
        <w:tc>
          <w:tcPr>
            <w:tcW w:w="1207" w:type="dxa"/>
            <w:tcBorders>
              <w:top w:val="single" w:sz="4" w:space="0" w:color="auto"/>
              <w:left w:val="nil"/>
              <w:bottom w:val="single" w:sz="4" w:space="0" w:color="auto"/>
              <w:right w:val="nil"/>
            </w:tcBorders>
            <w:shd w:val="clear" w:color="auto" w:fill="auto"/>
            <w:noWrap/>
            <w:vAlign w:val="bottom"/>
            <w:hideMark/>
          </w:tcPr>
          <w:p w14:paraId="20C032B2" w14:textId="77777777" w:rsidR="00CE6DBC" w:rsidRPr="00B6769F" w:rsidRDefault="00CE6DBC" w:rsidP="00CE6DBC">
            <w:pPr>
              <w:jc w:val="center"/>
              <w:rPr>
                <w:rFonts w:ascii="Calibri" w:hAnsi="Calibri"/>
                <w:color w:val="000000"/>
                <w:sz w:val="22"/>
                <w:szCs w:val="22"/>
              </w:rPr>
            </w:pPr>
            <w:r w:rsidRPr="00B6769F">
              <w:rPr>
                <w:rFonts w:ascii="Calibri" w:hAnsi="Calibri"/>
                <w:color w:val="000000"/>
                <w:sz w:val="22"/>
                <w:szCs w:val="22"/>
              </w:rPr>
              <w:t>6</w:t>
            </w:r>
          </w:p>
        </w:tc>
        <w:tc>
          <w:tcPr>
            <w:tcW w:w="1207" w:type="dxa"/>
            <w:tcBorders>
              <w:top w:val="single" w:sz="4" w:space="0" w:color="auto"/>
              <w:left w:val="nil"/>
              <w:bottom w:val="single" w:sz="4" w:space="0" w:color="auto"/>
              <w:right w:val="nil"/>
            </w:tcBorders>
            <w:shd w:val="clear" w:color="auto" w:fill="auto"/>
            <w:noWrap/>
            <w:vAlign w:val="bottom"/>
            <w:hideMark/>
          </w:tcPr>
          <w:p w14:paraId="0865AC3C" w14:textId="77777777" w:rsidR="00CE6DBC" w:rsidRPr="00B6769F" w:rsidRDefault="00CE6DBC" w:rsidP="00CE6DBC">
            <w:pPr>
              <w:jc w:val="center"/>
              <w:rPr>
                <w:rFonts w:ascii="Calibri" w:hAnsi="Calibri"/>
                <w:color w:val="000000"/>
                <w:sz w:val="22"/>
                <w:szCs w:val="22"/>
              </w:rPr>
            </w:pPr>
            <w:r w:rsidRPr="00B6769F">
              <w:rPr>
                <w:rFonts w:ascii="Calibri" w:hAnsi="Calibri"/>
                <w:color w:val="000000"/>
                <w:sz w:val="22"/>
                <w:szCs w:val="22"/>
              </w:rPr>
              <w:t>7</w:t>
            </w:r>
          </w:p>
        </w:tc>
      </w:tr>
      <w:tr w:rsidR="00CE6DBC" w:rsidRPr="00B6769F" w14:paraId="5BEC9490" w14:textId="77777777" w:rsidTr="00CE6DBC">
        <w:trPr>
          <w:trHeight w:val="332"/>
        </w:trPr>
        <w:tc>
          <w:tcPr>
            <w:tcW w:w="5721" w:type="dxa"/>
            <w:tcBorders>
              <w:top w:val="single" w:sz="4" w:space="0" w:color="auto"/>
              <w:left w:val="nil"/>
              <w:bottom w:val="nil"/>
              <w:right w:val="nil"/>
            </w:tcBorders>
            <w:shd w:val="clear" w:color="auto" w:fill="auto"/>
            <w:noWrap/>
            <w:vAlign w:val="bottom"/>
            <w:hideMark/>
          </w:tcPr>
          <w:p w14:paraId="288CCB65" w14:textId="77777777" w:rsidR="00CE6DBC" w:rsidRPr="00B6769F" w:rsidRDefault="00CE6DBC" w:rsidP="00CE6DBC">
            <w:pPr>
              <w:rPr>
                <w:rFonts w:ascii="Calibri" w:hAnsi="Calibri"/>
                <w:color w:val="000000"/>
                <w:sz w:val="22"/>
                <w:szCs w:val="22"/>
              </w:rPr>
            </w:pPr>
            <w:r w:rsidRPr="00B6769F">
              <w:rPr>
                <w:rFonts w:ascii="Calibri" w:hAnsi="Calibri"/>
                <w:color w:val="000000"/>
                <w:sz w:val="22"/>
                <w:szCs w:val="22"/>
              </w:rPr>
              <w:t>1. Disability</w:t>
            </w:r>
          </w:p>
        </w:tc>
        <w:tc>
          <w:tcPr>
            <w:tcW w:w="1039" w:type="dxa"/>
            <w:tcBorders>
              <w:top w:val="single" w:sz="4" w:space="0" w:color="auto"/>
              <w:left w:val="nil"/>
              <w:bottom w:val="nil"/>
              <w:right w:val="nil"/>
            </w:tcBorders>
            <w:shd w:val="clear" w:color="auto" w:fill="auto"/>
            <w:noWrap/>
            <w:vAlign w:val="bottom"/>
            <w:hideMark/>
          </w:tcPr>
          <w:p w14:paraId="3C639A90" w14:textId="77777777" w:rsidR="00CE6DBC" w:rsidRPr="00B6769F" w:rsidRDefault="00CE6DBC" w:rsidP="00CE6DBC">
            <w:pPr>
              <w:jc w:val="right"/>
              <w:rPr>
                <w:rFonts w:ascii="Calibri" w:hAnsi="Calibri"/>
                <w:sz w:val="22"/>
                <w:szCs w:val="22"/>
              </w:rPr>
            </w:pPr>
            <w:r w:rsidRPr="00B6769F">
              <w:rPr>
                <w:rFonts w:ascii="Calibri" w:hAnsi="Calibri"/>
                <w:sz w:val="22"/>
                <w:szCs w:val="22"/>
              </w:rPr>
              <w:t>0.</w:t>
            </w:r>
            <w:r>
              <w:rPr>
                <w:rFonts w:ascii="Calibri" w:hAnsi="Calibri"/>
                <w:sz w:val="22"/>
                <w:szCs w:val="22"/>
              </w:rPr>
              <w:t>63</w:t>
            </w:r>
            <w:r w:rsidRPr="00B6769F">
              <w:rPr>
                <w:rFonts w:ascii="Calibri" w:hAnsi="Calibri"/>
                <w:sz w:val="22"/>
                <w:szCs w:val="22"/>
              </w:rPr>
              <w:t>*</w:t>
            </w:r>
            <w:r>
              <w:rPr>
                <w:rFonts w:ascii="Calibri" w:hAnsi="Calibri"/>
                <w:sz w:val="22"/>
                <w:szCs w:val="22"/>
              </w:rPr>
              <w:t>*</w:t>
            </w:r>
          </w:p>
        </w:tc>
        <w:tc>
          <w:tcPr>
            <w:tcW w:w="1039" w:type="dxa"/>
            <w:tcBorders>
              <w:top w:val="single" w:sz="4" w:space="0" w:color="auto"/>
              <w:left w:val="nil"/>
              <w:bottom w:val="nil"/>
              <w:right w:val="nil"/>
            </w:tcBorders>
            <w:shd w:val="clear" w:color="auto" w:fill="auto"/>
            <w:noWrap/>
            <w:vAlign w:val="bottom"/>
            <w:hideMark/>
          </w:tcPr>
          <w:p w14:paraId="542D5AFB" w14:textId="77777777" w:rsidR="00CE6DBC" w:rsidRPr="00B6769F" w:rsidRDefault="00CE6DBC" w:rsidP="00CE6DBC">
            <w:pPr>
              <w:jc w:val="right"/>
              <w:rPr>
                <w:rFonts w:ascii="Calibri" w:hAnsi="Calibri"/>
                <w:sz w:val="22"/>
                <w:szCs w:val="22"/>
              </w:rPr>
            </w:pPr>
            <w:r>
              <w:rPr>
                <w:rFonts w:ascii="Calibri" w:hAnsi="Calibri"/>
                <w:sz w:val="22"/>
                <w:szCs w:val="22"/>
              </w:rPr>
              <w:t>-</w:t>
            </w:r>
            <w:r w:rsidRPr="00B6769F">
              <w:rPr>
                <w:rFonts w:ascii="Calibri" w:hAnsi="Calibri"/>
                <w:sz w:val="22"/>
                <w:szCs w:val="22"/>
              </w:rPr>
              <w:t>0.</w:t>
            </w:r>
            <w:r>
              <w:rPr>
                <w:rFonts w:ascii="Calibri" w:hAnsi="Calibri"/>
                <w:sz w:val="22"/>
                <w:szCs w:val="22"/>
              </w:rPr>
              <w:t>28</w:t>
            </w:r>
            <w:r w:rsidRPr="00B6769F">
              <w:rPr>
                <w:rFonts w:ascii="Calibri" w:hAnsi="Calibri"/>
                <w:sz w:val="22"/>
                <w:szCs w:val="22"/>
              </w:rPr>
              <w:t>*</w:t>
            </w:r>
            <w:r>
              <w:rPr>
                <w:rFonts w:ascii="Calibri" w:hAnsi="Calibri"/>
                <w:sz w:val="22"/>
                <w:szCs w:val="22"/>
              </w:rPr>
              <w:t>*</w:t>
            </w:r>
          </w:p>
        </w:tc>
        <w:tc>
          <w:tcPr>
            <w:tcW w:w="1040" w:type="dxa"/>
            <w:tcBorders>
              <w:top w:val="single" w:sz="4" w:space="0" w:color="auto"/>
              <w:left w:val="nil"/>
              <w:bottom w:val="nil"/>
              <w:right w:val="nil"/>
            </w:tcBorders>
            <w:shd w:val="clear" w:color="auto" w:fill="auto"/>
            <w:noWrap/>
            <w:vAlign w:val="bottom"/>
            <w:hideMark/>
          </w:tcPr>
          <w:p w14:paraId="6B0832C3" w14:textId="77777777" w:rsidR="00CE6DBC" w:rsidRPr="00B6769F" w:rsidRDefault="00CE6DBC" w:rsidP="00CE6DBC">
            <w:pPr>
              <w:jc w:val="right"/>
              <w:rPr>
                <w:rFonts w:ascii="Calibri" w:hAnsi="Calibri"/>
                <w:sz w:val="22"/>
                <w:szCs w:val="22"/>
              </w:rPr>
            </w:pPr>
            <w:r w:rsidRPr="00B6769F">
              <w:rPr>
                <w:rFonts w:ascii="Calibri" w:hAnsi="Calibri"/>
                <w:sz w:val="22"/>
                <w:szCs w:val="22"/>
              </w:rPr>
              <w:t>0.</w:t>
            </w:r>
            <w:r>
              <w:rPr>
                <w:rFonts w:ascii="Calibri" w:hAnsi="Calibri"/>
                <w:sz w:val="22"/>
                <w:szCs w:val="22"/>
              </w:rPr>
              <w:t>43</w:t>
            </w:r>
            <w:r w:rsidRPr="00B6769F">
              <w:rPr>
                <w:rFonts w:ascii="Calibri" w:hAnsi="Calibri"/>
                <w:sz w:val="22"/>
                <w:szCs w:val="22"/>
              </w:rPr>
              <w:t>*</w:t>
            </w:r>
            <w:r>
              <w:rPr>
                <w:rFonts w:ascii="Calibri" w:hAnsi="Calibri"/>
                <w:sz w:val="22"/>
                <w:szCs w:val="22"/>
              </w:rPr>
              <w:t>*</w:t>
            </w:r>
          </w:p>
        </w:tc>
        <w:tc>
          <w:tcPr>
            <w:tcW w:w="1207" w:type="dxa"/>
            <w:tcBorders>
              <w:top w:val="single" w:sz="4" w:space="0" w:color="auto"/>
              <w:left w:val="nil"/>
              <w:bottom w:val="nil"/>
              <w:right w:val="nil"/>
            </w:tcBorders>
            <w:shd w:val="clear" w:color="auto" w:fill="auto"/>
            <w:noWrap/>
            <w:vAlign w:val="bottom"/>
            <w:hideMark/>
          </w:tcPr>
          <w:p w14:paraId="34904C0A" w14:textId="77777777" w:rsidR="00CE6DBC" w:rsidRPr="00B6769F" w:rsidRDefault="00CE6DBC" w:rsidP="00CE6DBC">
            <w:pPr>
              <w:jc w:val="right"/>
              <w:rPr>
                <w:rFonts w:ascii="Calibri" w:hAnsi="Calibri"/>
                <w:sz w:val="22"/>
                <w:szCs w:val="22"/>
              </w:rPr>
            </w:pPr>
            <w:r w:rsidRPr="00B6769F">
              <w:rPr>
                <w:rFonts w:ascii="Calibri" w:hAnsi="Calibri"/>
                <w:sz w:val="22"/>
                <w:szCs w:val="22"/>
              </w:rPr>
              <w:t>0.</w:t>
            </w:r>
            <w:r>
              <w:rPr>
                <w:rFonts w:ascii="Calibri" w:hAnsi="Calibri"/>
                <w:sz w:val="22"/>
                <w:szCs w:val="22"/>
              </w:rPr>
              <w:t>58</w:t>
            </w:r>
            <w:r w:rsidRPr="00B6769F">
              <w:rPr>
                <w:rFonts w:ascii="Calibri" w:hAnsi="Calibri"/>
                <w:sz w:val="22"/>
                <w:szCs w:val="22"/>
              </w:rPr>
              <w:t>*</w:t>
            </w:r>
            <w:r>
              <w:rPr>
                <w:rFonts w:ascii="Calibri" w:hAnsi="Calibri"/>
                <w:sz w:val="22"/>
                <w:szCs w:val="22"/>
              </w:rPr>
              <w:t>*</w:t>
            </w:r>
          </w:p>
        </w:tc>
        <w:tc>
          <w:tcPr>
            <w:tcW w:w="1207" w:type="dxa"/>
            <w:tcBorders>
              <w:top w:val="single" w:sz="4" w:space="0" w:color="auto"/>
              <w:left w:val="nil"/>
              <w:bottom w:val="nil"/>
              <w:right w:val="nil"/>
            </w:tcBorders>
            <w:shd w:val="clear" w:color="auto" w:fill="auto"/>
            <w:noWrap/>
            <w:vAlign w:val="bottom"/>
            <w:hideMark/>
          </w:tcPr>
          <w:p w14:paraId="1EC1F660" w14:textId="77777777" w:rsidR="00CE6DBC" w:rsidRPr="00B6769F" w:rsidRDefault="00CE6DBC" w:rsidP="00CE6DBC">
            <w:pPr>
              <w:jc w:val="right"/>
              <w:rPr>
                <w:rFonts w:ascii="Calibri" w:hAnsi="Calibri"/>
                <w:sz w:val="22"/>
                <w:szCs w:val="22"/>
              </w:rPr>
            </w:pPr>
            <w:r w:rsidRPr="00B6769F">
              <w:rPr>
                <w:rFonts w:ascii="Calibri" w:hAnsi="Calibri"/>
                <w:sz w:val="22"/>
                <w:szCs w:val="22"/>
              </w:rPr>
              <w:t>0.</w:t>
            </w:r>
            <w:r>
              <w:rPr>
                <w:rFonts w:ascii="Calibri" w:hAnsi="Calibri"/>
                <w:sz w:val="22"/>
                <w:szCs w:val="22"/>
              </w:rPr>
              <w:t>36</w:t>
            </w:r>
            <w:r w:rsidRPr="00B6769F">
              <w:rPr>
                <w:rFonts w:ascii="Calibri" w:hAnsi="Calibri"/>
                <w:sz w:val="22"/>
                <w:szCs w:val="22"/>
              </w:rPr>
              <w:t>*</w:t>
            </w:r>
            <w:r>
              <w:rPr>
                <w:rFonts w:ascii="Calibri" w:hAnsi="Calibri"/>
                <w:sz w:val="22"/>
                <w:szCs w:val="22"/>
              </w:rPr>
              <w:t>*</w:t>
            </w:r>
          </w:p>
        </w:tc>
        <w:tc>
          <w:tcPr>
            <w:tcW w:w="1207" w:type="dxa"/>
            <w:tcBorders>
              <w:top w:val="single" w:sz="4" w:space="0" w:color="auto"/>
              <w:left w:val="nil"/>
              <w:bottom w:val="nil"/>
              <w:right w:val="nil"/>
            </w:tcBorders>
            <w:shd w:val="clear" w:color="auto" w:fill="auto"/>
            <w:noWrap/>
            <w:vAlign w:val="bottom"/>
            <w:hideMark/>
          </w:tcPr>
          <w:p w14:paraId="12157315" w14:textId="77777777" w:rsidR="00CE6DBC" w:rsidRPr="00B6769F" w:rsidRDefault="00CE6DBC" w:rsidP="00CE6DBC">
            <w:pPr>
              <w:jc w:val="right"/>
              <w:rPr>
                <w:rFonts w:ascii="Calibri" w:hAnsi="Calibri"/>
                <w:sz w:val="22"/>
                <w:szCs w:val="22"/>
              </w:rPr>
            </w:pPr>
            <w:r w:rsidRPr="00B6769F">
              <w:rPr>
                <w:rFonts w:ascii="Calibri" w:hAnsi="Calibri"/>
                <w:sz w:val="22"/>
                <w:szCs w:val="22"/>
              </w:rPr>
              <w:t>0.</w:t>
            </w:r>
            <w:r>
              <w:rPr>
                <w:rFonts w:ascii="Calibri" w:hAnsi="Calibri"/>
                <w:sz w:val="22"/>
                <w:szCs w:val="22"/>
              </w:rPr>
              <w:t>26</w:t>
            </w:r>
            <w:r w:rsidRPr="00B6769F">
              <w:rPr>
                <w:rFonts w:ascii="Calibri" w:hAnsi="Calibri"/>
                <w:sz w:val="22"/>
                <w:szCs w:val="22"/>
              </w:rPr>
              <w:t>*</w:t>
            </w:r>
            <w:r>
              <w:rPr>
                <w:rFonts w:ascii="Calibri" w:hAnsi="Calibri"/>
                <w:sz w:val="22"/>
                <w:szCs w:val="22"/>
              </w:rPr>
              <w:t>*</w:t>
            </w:r>
          </w:p>
        </w:tc>
      </w:tr>
      <w:tr w:rsidR="00CE6DBC" w:rsidRPr="00B6769F" w14:paraId="2B73008A" w14:textId="77777777" w:rsidTr="00CE6DBC">
        <w:trPr>
          <w:trHeight w:val="332"/>
        </w:trPr>
        <w:tc>
          <w:tcPr>
            <w:tcW w:w="5721" w:type="dxa"/>
            <w:tcBorders>
              <w:top w:val="nil"/>
              <w:left w:val="nil"/>
              <w:bottom w:val="nil"/>
              <w:right w:val="nil"/>
            </w:tcBorders>
            <w:shd w:val="clear" w:color="auto" w:fill="auto"/>
            <w:noWrap/>
            <w:vAlign w:val="bottom"/>
            <w:hideMark/>
          </w:tcPr>
          <w:p w14:paraId="1E0C5166" w14:textId="77777777" w:rsidR="00CE6DBC" w:rsidRPr="00B6769F" w:rsidRDefault="00CE6DBC" w:rsidP="00CE6DBC">
            <w:pPr>
              <w:rPr>
                <w:rFonts w:ascii="Calibri" w:hAnsi="Calibri"/>
                <w:color w:val="000000"/>
                <w:sz w:val="22"/>
                <w:szCs w:val="22"/>
              </w:rPr>
            </w:pPr>
            <w:r w:rsidRPr="00B6769F">
              <w:rPr>
                <w:rFonts w:ascii="Calibri" w:hAnsi="Calibri"/>
                <w:color w:val="000000"/>
                <w:sz w:val="22"/>
                <w:szCs w:val="22"/>
              </w:rPr>
              <w:t xml:space="preserve">2. </w:t>
            </w:r>
            <w:r>
              <w:rPr>
                <w:rFonts w:ascii="Calibri" w:hAnsi="Calibri"/>
                <w:color w:val="000000"/>
                <w:sz w:val="22"/>
                <w:szCs w:val="22"/>
              </w:rPr>
              <w:t>Threat-related illness beliefs</w:t>
            </w:r>
          </w:p>
        </w:tc>
        <w:tc>
          <w:tcPr>
            <w:tcW w:w="1039" w:type="dxa"/>
            <w:tcBorders>
              <w:top w:val="nil"/>
              <w:left w:val="nil"/>
              <w:bottom w:val="nil"/>
              <w:right w:val="nil"/>
            </w:tcBorders>
            <w:shd w:val="clear" w:color="auto" w:fill="auto"/>
            <w:noWrap/>
            <w:vAlign w:val="bottom"/>
            <w:hideMark/>
          </w:tcPr>
          <w:p w14:paraId="599B7DE9" w14:textId="77777777" w:rsidR="00CE6DBC" w:rsidRPr="00B6769F" w:rsidRDefault="00CE6DBC" w:rsidP="00CE6DBC">
            <w:pPr>
              <w:rPr>
                <w:rFonts w:ascii="Calibri" w:hAnsi="Calibri"/>
                <w:sz w:val="22"/>
                <w:szCs w:val="22"/>
              </w:rPr>
            </w:pPr>
          </w:p>
        </w:tc>
        <w:tc>
          <w:tcPr>
            <w:tcW w:w="1039" w:type="dxa"/>
            <w:tcBorders>
              <w:top w:val="nil"/>
              <w:left w:val="nil"/>
              <w:bottom w:val="nil"/>
              <w:right w:val="nil"/>
            </w:tcBorders>
            <w:shd w:val="clear" w:color="auto" w:fill="auto"/>
            <w:noWrap/>
            <w:vAlign w:val="bottom"/>
            <w:hideMark/>
          </w:tcPr>
          <w:p w14:paraId="3D3A34E7" w14:textId="77777777" w:rsidR="00CE6DBC" w:rsidRPr="00B6769F" w:rsidRDefault="00CE6DBC" w:rsidP="00CE6DBC">
            <w:pPr>
              <w:jc w:val="right"/>
              <w:rPr>
                <w:rFonts w:ascii="Calibri" w:hAnsi="Calibri"/>
                <w:sz w:val="22"/>
                <w:szCs w:val="22"/>
              </w:rPr>
            </w:pPr>
            <w:r>
              <w:rPr>
                <w:rFonts w:ascii="Calibri" w:hAnsi="Calibri"/>
                <w:sz w:val="22"/>
                <w:szCs w:val="22"/>
              </w:rPr>
              <w:t>-</w:t>
            </w:r>
            <w:r w:rsidRPr="00B6769F">
              <w:rPr>
                <w:rFonts w:ascii="Calibri" w:hAnsi="Calibri"/>
                <w:sz w:val="22"/>
                <w:szCs w:val="22"/>
              </w:rPr>
              <w:t>0.</w:t>
            </w:r>
            <w:r>
              <w:rPr>
                <w:rFonts w:ascii="Calibri" w:hAnsi="Calibri"/>
                <w:sz w:val="22"/>
                <w:szCs w:val="22"/>
              </w:rPr>
              <w:t>36</w:t>
            </w:r>
            <w:r w:rsidRPr="00B6769F">
              <w:rPr>
                <w:rFonts w:ascii="Calibri" w:hAnsi="Calibri"/>
                <w:sz w:val="22"/>
                <w:szCs w:val="22"/>
              </w:rPr>
              <w:t>*</w:t>
            </w:r>
            <w:r>
              <w:rPr>
                <w:rFonts w:ascii="Calibri" w:hAnsi="Calibri"/>
                <w:sz w:val="22"/>
                <w:szCs w:val="22"/>
              </w:rPr>
              <w:t>*</w:t>
            </w:r>
          </w:p>
        </w:tc>
        <w:tc>
          <w:tcPr>
            <w:tcW w:w="1040" w:type="dxa"/>
            <w:tcBorders>
              <w:top w:val="nil"/>
              <w:left w:val="nil"/>
              <w:bottom w:val="nil"/>
              <w:right w:val="nil"/>
            </w:tcBorders>
            <w:shd w:val="clear" w:color="auto" w:fill="auto"/>
            <w:noWrap/>
            <w:vAlign w:val="bottom"/>
            <w:hideMark/>
          </w:tcPr>
          <w:p w14:paraId="7D0C52E9" w14:textId="77777777" w:rsidR="00CE6DBC" w:rsidRPr="00B6769F" w:rsidRDefault="00CE6DBC" w:rsidP="00CE6DBC">
            <w:pPr>
              <w:jc w:val="right"/>
              <w:rPr>
                <w:rFonts w:ascii="Calibri" w:hAnsi="Calibri"/>
                <w:sz w:val="22"/>
                <w:szCs w:val="22"/>
              </w:rPr>
            </w:pPr>
            <w:r w:rsidRPr="00B6769F">
              <w:rPr>
                <w:rFonts w:ascii="Calibri" w:hAnsi="Calibri"/>
                <w:sz w:val="22"/>
                <w:szCs w:val="22"/>
              </w:rPr>
              <w:t>0.</w:t>
            </w:r>
            <w:r>
              <w:rPr>
                <w:rFonts w:ascii="Calibri" w:hAnsi="Calibri"/>
                <w:sz w:val="22"/>
                <w:szCs w:val="22"/>
              </w:rPr>
              <w:t>43</w:t>
            </w:r>
            <w:r w:rsidRPr="00B6769F">
              <w:rPr>
                <w:rFonts w:ascii="Calibri" w:hAnsi="Calibri"/>
                <w:sz w:val="22"/>
                <w:szCs w:val="22"/>
              </w:rPr>
              <w:t>*</w:t>
            </w:r>
            <w:r>
              <w:rPr>
                <w:rFonts w:ascii="Calibri" w:hAnsi="Calibri"/>
                <w:sz w:val="22"/>
                <w:szCs w:val="22"/>
              </w:rPr>
              <w:t>*</w:t>
            </w:r>
          </w:p>
        </w:tc>
        <w:tc>
          <w:tcPr>
            <w:tcW w:w="1207" w:type="dxa"/>
            <w:tcBorders>
              <w:top w:val="nil"/>
              <w:left w:val="nil"/>
              <w:bottom w:val="nil"/>
              <w:right w:val="nil"/>
            </w:tcBorders>
            <w:shd w:val="clear" w:color="auto" w:fill="auto"/>
            <w:noWrap/>
            <w:vAlign w:val="bottom"/>
            <w:hideMark/>
          </w:tcPr>
          <w:p w14:paraId="5CD5C268" w14:textId="77777777" w:rsidR="00CE6DBC" w:rsidRPr="00B6769F" w:rsidRDefault="00CE6DBC" w:rsidP="00CE6DBC">
            <w:pPr>
              <w:jc w:val="right"/>
              <w:rPr>
                <w:rFonts w:ascii="Calibri" w:hAnsi="Calibri"/>
                <w:sz w:val="22"/>
                <w:szCs w:val="22"/>
              </w:rPr>
            </w:pPr>
            <w:r w:rsidRPr="00B6769F">
              <w:rPr>
                <w:rFonts w:ascii="Calibri" w:hAnsi="Calibri"/>
                <w:sz w:val="22"/>
                <w:szCs w:val="22"/>
              </w:rPr>
              <w:t>0.</w:t>
            </w:r>
            <w:r>
              <w:rPr>
                <w:rFonts w:ascii="Calibri" w:hAnsi="Calibri"/>
                <w:sz w:val="22"/>
                <w:szCs w:val="22"/>
              </w:rPr>
              <w:t>44</w:t>
            </w:r>
            <w:r w:rsidRPr="00B6769F">
              <w:rPr>
                <w:rFonts w:ascii="Calibri" w:hAnsi="Calibri"/>
                <w:sz w:val="22"/>
                <w:szCs w:val="22"/>
              </w:rPr>
              <w:t>*</w:t>
            </w:r>
            <w:r>
              <w:rPr>
                <w:rFonts w:ascii="Calibri" w:hAnsi="Calibri"/>
                <w:sz w:val="22"/>
                <w:szCs w:val="22"/>
              </w:rPr>
              <w:t>*</w:t>
            </w:r>
          </w:p>
        </w:tc>
        <w:tc>
          <w:tcPr>
            <w:tcW w:w="1207" w:type="dxa"/>
            <w:tcBorders>
              <w:top w:val="nil"/>
              <w:left w:val="nil"/>
              <w:bottom w:val="nil"/>
              <w:right w:val="nil"/>
            </w:tcBorders>
            <w:shd w:val="clear" w:color="auto" w:fill="auto"/>
            <w:noWrap/>
            <w:vAlign w:val="bottom"/>
            <w:hideMark/>
          </w:tcPr>
          <w:p w14:paraId="0F900319" w14:textId="77777777" w:rsidR="00CE6DBC" w:rsidRPr="00B6769F" w:rsidRDefault="00CE6DBC" w:rsidP="00CE6DBC">
            <w:pPr>
              <w:jc w:val="right"/>
              <w:rPr>
                <w:rFonts w:ascii="Calibri" w:hAnsi="Calibri"/>
                <w:sz w:val="22"/>
                <w:szCs w:val="22"/>
              </w:rPr>
            </w:pPr>
            <w:r w:rsidRPr="00B6769F">
              <w:rPr>
                <w:rFonts w:ascii="Calibri" w:hAnsi="Calibri"/>
                <w:sz w:val="22"/>
                <w:szCs w:val="22"/>
              </w:rPr>
              <w:t>0.2</w:t>
            </w:r>
            <w:r>
              <w:rPr>
                <w:rFonts w:ascii="Calibri" w:hAnsi="Calibri"/>
                <w:sz w:val="22"/>
                <w:szCs w:val="22"/>
              </w:rPr>
              <w:t>5</w:t>
            </w:r>
            <w:r w:rsidRPr="00B6769F">
              <w:rPr>
                <w:rFonts w:ascii="Calibri" w:hAnsi="Calibri"/>
                <w:sz w:val="22"/>
                <w:szCs w:val="22"/>
              </w:rPr>
              <w:t>*</w:t>
            </w:r>
            <w:r>
              <w:rPr>
                <w:rFonts w:ascii="Calibri" w:hAnsi="Calibri"/>
                <w:sz w:val="22"/>
                <w:szCs w:val="22"/>
              </w:rPr>
              <w:t>*</w:t>
            </w:r>
          </w:p>
        </w:tc>
        <w:tc>
          <w:tcPr>
            <w:tcW w:w="1207" w:type="dxa"/>
            <w:tcBorders>
              <w:top w:val="nil"/>
              <w:left w:val="nil"/>
              <w:bottom w:val="nil"/>
              <w:right w:val="nil"/>
            </w:tcBorders>
            <w:shd w:val="clear" w:color="auto" w:fill="auto"/>
            <w:noWrap/>
            <w:vAlign w:val="bottom"/>
            <w:hideMark/>
          </w:tcPr>
          <w:p w14:paraId="22D39E77" w14:textId="77777777" w:rsidR="00CE6DBC" w:rsidRPr="00B6769F" w:rsidRDefault="00CE6DBC" w:rsidP="00CE6DBC">
            <w:pPr>
              <w:ind w:hanging="150"/>
              <w:jc w:val="center"/>
              <w:rPr>
                <w:rFonts w:ascii="Calibri" w:hAnsi="Calibri"/>
                <w:sz w:val="22"/>
                <w:szCs w:val="22"/>
              </w:rPr>
            </w:pPr>
            <w:r w:rsidRPr="00B6769F">
              <w:rPr>
                <w:rFonts w:ascii="Calibri" w:hAnsi="Calibri"/>
                <w:sz w:val="22"/>
                <w:szCs w:val="22"/>
              </w:rPr>
              <w:t xml:space="preserve">  </w:t>
            </w:r>
            <w:r>
              <w:rPr>
                <w:rFonts w:ascii="Calibri" w:hAnsi="Calibri"/>
                <w:sz w:val="22"/>
                <w:szCs w:val="22"/>
              </w:rPr>
              <w:t xml:space="preserve">        </w:t>
            </w:r>
            <w:r w:rsidRPr="00B6769F">
              <w:rPr>
                <w:rFonts w:ascii="Calibri" w:hAnsi="Calibri"/>
                <w:sz w:val="22"/>
                <w:szCs w:val="22"/>
              </w:rPr>
              <w:t>0.</w:t>
            </w:r>
            <w:r>
              <w:rPr>
                <w:rFonts w:ascii="Calibri" w:hAnsi="Calibri"/>
                <w:sz w:val="22"/>
                <w:szCs w:val="22"/>
              </w:rPr>
              <w:t>28**</w:t>
            </w:r>
          </w:p>
        </w:tc>
      </w:tr>
      <w:tr w:rsidR="00CE6DBC" w:rsidRPr="00B6769F" w14:paraId="18103A5D" w14:textId="77777777" w:rsidTr="00CE6DBC">
        <w:trPr>
          <w:trHeight w:val="332"/>
        </w:trPr>
        <w:tc>
          <w:tcPr>
            <w:tcW w:w="5721" w:type="dxa"/>
            <w:tcBorders>
              <w:top w:val="nil"/>
              <w:left w:val="nil"/>
              <w:bottom w:val="nil"/>
              <w:right w:val="nil"/>
            </w:tcBorders>
            <w:shd w:val="clear" w:color="auto" w:fill="auto"/>
            <w:noWrap/>
            <w:vAlign w:val="bottom"/>
            <w:hideMark/>
          </w:tcPr>
          <w:p w14:paraId="75E888A5" w14:textId="77777777" w:rsidR="00CE6DBC" w:rsidRPr="00B6769F" w:rsidRDefault="00CE6DBC" w:rsidP="00CE6DBC">
            <w:pPr>
              <w:rPr>
                <w:rFonts w:ascii="Calibri" w:hAnsi="Calibri"/>
                <w:color w:val="000000"/>
                <w:sz w:val="22"/>
                <w:szCs w:val="22"/>
              </w:rPr>
            </w:pPr>
            <w:r w:rsidRPr="00B6769F">
              <w:rPr>
                <w:rFonts w:ascii="Calibri" w:hAnsi="Calibri"/>
                <w:color w:val="000000"/>
                <w:sz w:val="22"/>
                <w:szCs w:val="22"/>
              </w:rPr>
              <w:t xml:space="preserve">3. </w:t>
            </w:r>
            <w:r>
              <w:rPr>
                <w:rFonts w:ascii="Calibri" w:hAnsi="Calibri"/>
                <w:color w:val="000000"/>
                <w:sz w:val="22"/>
                <w:szCs w:val="22"/>
              </w:rPr>
              <w:t>Protective illness beliefs</w:t>
            </w:r>
          </w:p>
        </w:tc>
        <w:tc>
          <w:tcPr>
            <w:tcW w:w="1039" w:type="dxa"/>
            <w:tcBorders>
              <w:top w:val="nil"/>
              <w:left w:val="nil"/>
              <w:bottom w:val="nil"/>
              <w:right w:val="nil"/>
            </w:tcBorders>
            <w:shd w:val="clear" w:color="auto" w:fill="auto"/>
            <w:noWrap/>
            <w:vAlign w:val="bottom"/>
            <w:hideMark/>
          </w:tcPr>
          <w:p w14:paraId="74CF0BF6" w14:textId="77777777" w:rsidR="00CE6DBC" w:rsidRPr="00B6769F" w:rsidRDefault="00CE6DBC" w:rsidP="00CE6DBC">
            <w:pPr>
              <w:rPr>
                <w:rFonts w:ascii="Calibri" w:hAnsi="Calibri"/>
                <w:sz w:val="22"/>
                <w:szCs w:val="22"/>
              </w:rPr>
            </w:pPr>
          </w:p>
        </w:tc>
        <w:tc>
          <w:tcPr>
            <w:tcW w:w="1039" w:type="dxa"/>
            <w:tcBorders>
              <w:top w:val="nil"/>
              <w:left w:val="nil"/>
              <w:bottom w:val="nil"/>
              <w:right w:val="nil"/>
            </w:tcBorders>
            <w:shd w:val="clear" w:color="auto" w:fill="auto"/>
            <w:noWrap/>
            <w:vAlign w:val="bottom"/>
            <w:hideMark/>
          </w:tcPr>
          <w:p w14:paraId="460ADD78" w14:textId="77777777" w:rsidR="00CE6DBC" w:rsidRPr="00B6769F" w:rsidRDefault="00CE6DBC" w:rsidP="00CE6DBC">
            <w:pPr>
              <w:rPr>
                <w:sz w:val="20"/>
                <w:szCs w:val="20"/>
              </w:rPr>
            </w:pPr>
          </w:p>
        </w:tc>
        <w:tc>
          <w:tcPr>
            <w:tcW w:w="1040" w:type="dxa"/>
            <w:tcBorders>
              <w:top w:val="nil"/>
              <w:left w:val="nil"/>
              <w:bottom w:val="nil"/>
              <w:right w:val="nil"/>
            </w:tcBorders>
            <w:shd w:val="clear" w:color="auto" w:fill="auto"/>
            <w:noWrap/>
            <w:vAlign w:val="bottom"/>
            <w:hideMark/>
          </w:tcPr>
          <w:p w14:paraId="29DF1D3C" w14:textId="77777777" w:rsidR="00CE6DBC" w:rsidRPr="00B6769F" w:rsidRDefault="00CE6DBC" w:rsidP="00CE6DBC">
            <w:pPr>
              <w:jc w:val="right"/>
              <w:rPr>
                <w:rFonts w:ascii="Calibri" w:hAnsi="Calibri"/>
                <w:sz w:val="22"/>
                <w:szCs w:val="22"/>
              </w:rPr>
            </w:pPr>
            <w:r>
              <w:rPr>
                <w:rFonts w:ascii="Calibri" w:hAnsi="Calibri"/>
                <w:sz w:val="22"/>
                <w:szCs w:val="22"/>
              </w:rPr>
              <w:t>-</w:t>
            </w:r>
            <w:r w:rsidRPr="00B6769F">
              <w:rPr>
                <w:rFonts w:ascii="Calibri" w:hAnsi="Calibri"/>
                <w:sz w:val="22"/>
                <w:szCs w:val="22"/>
              </w:rPr>
              <w:t>0.</w:t>
            </w:r>
            <w:r>
              <w:rPr>
                <w:rFonts w:ascii="Calibri" w:hAnsi="Calibri"/>
                <w:sz w:val="22"/>
                <w:szCs w:val="22"/>
              </w:rPr>
              <w:t>21</w:t>
            </w:r>
            <w:r w:rsidRPr="00B6769F">
              <w:rPr>
                <w:rFonts w:ascii="Calibri" w:hAnsi="Calibri"/>
                <w:sz w:val="22"/>
                <w:szCs w:val="22"/>
              </w:rPr>
              <w:t>*</w:t>
            </w:r>
            <w:r>
              <w:rPr>
                <w:rFonts w:ascii="Calibri" w:hAnsi="Calibri"/>
                <w:sz w:val="22"/>
                <w:szCs w:val="22"/>
              </w:rPr>
              <w:t>*</w:t>
            </w:r>
          </w:p>
        </w:tc>
        <w:tc>
          <w:tcPr>
            <w:tcW w:w="1207" w:type="dxa"/>
            <w:tcBorders>
              <w:top w:val="nil"/>
              <w:left w:val="nil"/>
              <w:bottom w:val="nil"/>
              <w:right w:val="nil"/>
            </w:tcBorders>
            <w:shd w:val="clear" w:color="auto" w:fill="auto"/>
            <w:noWrap/>
            <w:vAlign w:val="bottom"/>
            <w:hideMark/>
          </w:tcPr>
          <w:p w14:paraId="6F715C10" w14:textId="77777777" w:rsidR="00CE6DBC" w:rsidRPr="00B6769F" w:rsidRDefault="00CE6DBC" w:rsidP="00CE6DBC">
            <w:pPr>
              <w:jc w:val="right"/>
              <w:rPr>
                <w:rFonts w:ascii="Calibri" w:hAnsi="Calibri"/>
                <w:sz w:val="22"/>
                <w:szCs w:val="22"/>
              </w:rPr>
            </w:pPr>
            <w:r w:rsidRPr="00B6769F">
              <w:rPr>
                <w:rFonts w:ascii="Calibri" w:hAnsi="Calibri"/>
                <w:sz w:val="22"/>
                <w:szCs w:val="22"/>
              </w:rPr>
              <w:t>-0.2</w:t>
            </w:r>
            <w:r>
              <w:rPr>
                <w:rFonts w:ascii="Calibri" w:hAnsi="Calibri"/>
                <w:sz w:val="22"/>
                <w:szCs w:val="22"/>
              </w:rPr>
              <w:t>0</w:t>
            </w:r>
            <w:r w:rsidRPr="00B6769F">
              <w:rPr>
                <w:rFonts w:ascii="Calibri" w:hAnsi="Calibri"/>
                <w:sz w:val="22"/>
                <w:szCs w:val="22"/>
              </w:rPr>
              <w:t>*</w:t>
            </w:r>
            <w:r>
              <w:rPr>
                <w:rFonts w:ascii="Calibri" w:hAnsi="Calibri"/>
                <w:sz w:val="22"/>
                <w:szCs w:val="22"/>
              </w:rPr>
              <w:t>*</w:t>
            </w:r>
          </w:p>
        </w:tc>
        <w:tc>
          <w:tcPr>
            <w:tcW w:w="1207" w:type="dxa"/>
            <w:tcBorders>
              <w:top w:val="nil"/>
              <w:left w:val="nil"/>
              <w:bottom w:val="nil"/>
              <w:right w:val="nil"/>
            </w:tcBorders>
            <w:shd w:val="clear" w:color="auto" w:fill="auto"/>
            <w:noWrap/>
            <w:vAlign w:val="bottom"/>
            <w:hideMark/>
          </w:tcPr>
          <w:p w14:paraId="6AE5C6C6" w14:textId="77777777" w:rsidR="00CE6DBC" w:rsidRPr="00B6769F" w:rsidRDefault="00CE6DBC" w:rsidP="00CE6DBC">
            <w:pPr>
              <w:jc w:val="center"/>
              <w:rPr>
                <w:rFonts w:ascii="Calibri" w:hAnsi="Calibri"/>
                <w:sz w:val="22"/>
                <w:szCs w:val="22"/>
              </w:rPr>
            </w:pPr>
            <w:r>
              <w:rPr>
                <w:rFonts w:ascii="Calibri" w:hAnsi="Calibri"/>
                <w:sz w:val="22"/>
                <w:szCs w:val="22"/>
              </w:rPr>
              <w:t xml:space="preserve">   </w:t>
            </w:r>
            <w:r w:rsidRPr="00B6769F">
              <w:rPr>
                <w:rFonts w:ascii="Calibri" w:hAnsi="Calibri"/>
                <w:sz w:val="22"/>
                <w:szCs w:val="22"/>
              </w:rPr>
              <w:t>-0.</w:t>
            </w:r>
            <w:r>
              <w:rPr>
                <w:rFonts w:ascii="Calibri" w:hAnsi="Calibri"/>
                <w:sz w:val="22"/>
                <w:szCs w:val="22"/>
              </w:rPr>
              <w:t xml:space="preserve">06  </w:t>
            </w:r>
          </w:p>
        </w:tc>
        <w:tc>
          <w:tcPr>
            <w:tcW w:w="1207" w:type="dxa"/>
            <w:tcBorders>
              <w:top w:val="nil"/>
              <w:left w:val="nil"/>
              <w:bottom w:val="nil"/>
              <w:right w:val="nil"/>
            </w:tcBorders>
            <w:shd w:val="clear" w:color="auto" w:fill="auto"/>
            <w:noWrap/>
            <w:vAlign w:val="bottom"/>
            <w:hideMark/>
          </w:tcPr>
          <w:p w14:paraId="0C07889A" w14:textId="77777777" w:rsidR="00CE6DBC" w:rsidRPr="00B6769F" w:rsidRDefault="00CE6DBC" w:rsidP="00CE6DBC">
            <w:pPr>
              <w:jc w:val="center"/>
              <w:rPr>
                <w:rFonts w:ascii="Calibri" w:hAnsi="Calibri"/>
                <w:sz w:val="22"/>
                <w:szCs w:val="22"/>
              </w:rPr>
            </w:pPr>
            <w:r>
              <w:rPr>
                <w:rFonts w:ascii="Calibri" w:hAnsi="Calibri"/>
                <w:sz w:val="22"/>
                <w:szCs w:val="22"/>
              </w:rPr>
              <w:t xml:space="preserve">   </w:t>
            </w:r>
            <w:r w:rsidRPr="00B6769F">
              <w:rPr>
                <w:rFonts w:ascii="Calibri" w:hAnsi="Calibri"/>
                <w:sz w:val="22"/>
                <w:szCs w:val="22"/>
              </w:rPr>
              <w:t>-0.</w:t>
            </w:r>
            <w:r>
              <w:rPr>
                <w:rFonts w:ascii="Calibri" w:hAnsi="Calibri"/>
                <w:sz w:val="22"/>
                <w:szCs w:val="22"/>
              </w:rPr>
              <w:t>09</w:t>
            </w:r>
          </w:p>
        </w:tc>
      </w:tr>
      <w:tr w:rsidR="00CE6DBC" w:rsidRPr="00B6769F" w14:paraId="310F1608" w14:textId="77777777" w:rsidTr="00CE6DBC">
        <w:trPr>
          <w:trHeight w:val="332"/>
        </w:trPr>
        <w:tc>
          <w:tcPr>
            <w:tcW w:w="5721" w:type="dxa"/>
            <w:tcBorders>
              <w:top w:val="nil"/>
              <w:left w:val="nil"/>
              <w:bottom w:val="nil"/>
              <w:right w:val="nil"/>
            </w:tcBorders>
            <w:shd w:val="clear" w:color="auto" w:fill="auto"/>
            <w:noWrap/>
            <w:vAlign w:val="bottom"/>
            <w:hideMark/>
          </w:tcPr>
          <w:p w14:paraId="419BC106" w14:textId="77777777" w:rsidR="00CE6DBC" w:rsidRPr="00B6769F" w:rsidRDefault="00CE6DBC" w:rsidP="00CE6DBC">
            <w:pPr>
              <w:rPr>
                <w:rFonts w:ascii="Calibri" w:hAnsi="Calibri"/>
                <w:color w:val="000000"/>
                <w:sz w:val="22"/>
                <w:szCs w:val="22"/>
              </w:rPr>
            </w:pPr>
            <w:r>
              <w:rPr>
                <w:rFonts w:ascii="Calibri" w:hAnsi="Calibri"/>
                <w:color w:val="000000"/>
                <w:sz w:val="22"/>
                <w:szCs w:val="22"/>
              </w:rPr>
              <w:t>4</w:t>
            </w:r>
            <w:r w:rsidRPr="00B6769F">
              <w:rPr>
                <w:rFonts w:ascii="Calibri" w:hAnsi="Calibri"/>
                <w:color w:val="000000"/>
                <w:sz w:val="22"/>
                <w:szCs w:val="22"/>
              </w:rPr>
              <w:t>. All-or-nothing behavior</w:t>
            </w:r>
          </w:p>
        </w:tc>
        <w:tc>
          <w:tcPr>
            <w:tcW w:w="1039" w:type="dxa"/>
            <w:tcBorders>
              <w:top w:val="nil"/>
              <w:left w:val="nil"/>
              <w:bottom w:val="nil"/>
              <w:right w:val="nil"/>
            </w:tcBorders>
            <w:shd w:val="clear" w:color="auto" w:fill="auto"/>
            <w:noWrap/>
            <w:vAlign w:val="bottom"/>
            <w:hideMark/>
          </w:tcPr>
          <w:p w14:paraId="0F48E8B6" w14:textId="77777777" w:rsidR="00CE6DBC" w:rsidRPr="00B6769F" w:rsidRDefault="00CE6DBC" w:rsidP="00CE6DBC">
            <w:pPr>
              <w:rPr>
                <w:rFonts w:ascii="Calibri" w:hAnsi="Calibri"/>
                <w:sz w:val="22"/>
                <w:szCs w:val="22"/>
              </w:rPr>
            </w:pPr>
          </w:p>
        </w:tc>
        <w:tc>
          <w:tcPr>
            <w:tcW w:w="1039" w:type="dxa"/>
            <w:tcBorders>
              <w:top w:val="nil"/>
              <w:left w:val="nil"/>
              <w:bottom w:val="nil"/>
              <w:right w:val="nil"/>
            </w:tcBorders>
            <w:shd w:val="clear" w:color="auto" w:fill="auto"/>
            <w:noWrap/>
            <w:vAlign w:val="bottom"/>
            <w:hideMark/>
          </w:tcPr>
          <w:p w14:paraId="7B14464F" w14:textId="77777777" w:rsidR="00CE6DBC" w:rsidRPr="00B6769F" w:rsidRDefault="00CE6DBC" w:rsidP="00CE6DBC">
            <w:pPr>
              <w:rPr>
                <w:sz w:val="20"/>
                <w:szCs w:val="20"/>
              </w:rPr>
            </w:pPr>
          </w:p>
        </w:tc>
        <w:tc>
          <w:tcPr>
            <w:tcW w:w="1040" w:type="dxa"/>
            <w:tcBorders>
              <w:top w:val="nil"/>
              <w:left w:val="nil"/>
              <w:bottom w:val="nil"/>
              <w:right w:val="nil"/>
            </w:tcBorders>
            <w:shd w:val="clear" w:color="auto" w:fill="auto"/>
            <w:noWrap/>
            <w:vAlign w:val="bottom"/>
            <w:hideMark/>
          </w:tcPr>
          <w:p w14:paraId="53DA4DBE" w14:textId="77777777" w:rsidR="00CE6DBC" w:rsidRPr="00B6769F" w:rsidRDefault="00CE6DBC" w:rsidP="00CE6DBC">
            <w:pPr>
              <w:jc w:val="right"/>
              <w:rPr>
                <w:sz w:val="20"/>
                <w:szCs w:val="20"/>
              </w:rPr>
            </w:pPr>
          </w:p>
        </w:tc>
        <w:tc>
          <w:tcPr>
            <w:tcW w:w="1207" w:type="dxa"/>
            <w:tcBorders>
              <w:top w:val="nil"/>
              <w:left w:val="nil"/>
              <w:bottom w:val="nil"/>
              <w:right w:val="nil"/>
            </w:tcBorders>
            <w:shd w:val="clear" w:color="auto" w:fill="auto"/>
            <w:noWrap/>
            <w:vAlign w:val="bottom"/>
            <w:hideMark/>
          </w:tcPr>
          <w:p w14:paraId="78E55467" w14:textId="77777777" w:rsidR="00CE6DBC" w:rsidRPr="00B6769F" w:rsidRDefault="00CE6DBC" w:rsidP="00CE6DBC">
            <w:pPr>
              <w:jc w:val="center"/>
              <w:rPr>
                <w:sz w:val="20"/>
                <w:szCs w:val="20"/>
              </w:rPr>
            </w:pPr>
            <w:r>
              <w:rPr>
                <w:sz w:val="20"/>
                <w:szCs w:val="20"/>
              </w:rPr>
              <w:t xml:space="preserve">       0.33**</w:t>
            </w:r>
          </w:p>
        </w:tc>
        <w:tc>
          <w:tcPr>
            <w:tcW w:w="1207" w:type="dxa"/>
            <w:tcBorders>
              <w:top w:val="nil"/>
              <w:left w:val="nil"/>
              <w:bottom w:val="nil"/>
              <w:right w:val="nil"/>
            </w:tcBorders>
            <w:shd w:val="clear" w:color="auto" w:fill="auto"/>
            <w:noWrap/>
            <w:vAlign w:val="bottom"/>
            <w:hideMark/>
          </w:tcPr>
          <w:p w14:paraId="10E3E038" w14:textId="77777777" w:rsidR="00CE6DBC" w:rsidRPr="00B6769F" w:rsidRDefault="00CE6DBC" w:rsidP="00CE6DBC">
            <w:pPr>
              <w:rPr>
                <w:sz w:val="20"/>
                <w:szCs w:val="20"/>
              </w:rPr>
            </w:pPr>
            <w:r>
              <w:rPr>
                <w:sz w:val="20"/>
                <w:szCs w:val="20"/>
              </w:rPr>
              <w:t xml:space="preserve">        0.28**</w:t>
            </w:r>
          </w:p>
        </w:tc>
        <w:tc>
          <w:tcPr>
            <w:tcW w:w="1207" w:type="dxa"/>
            <w:tcBorders>
              <w:top w:val="nil"/>
              <w:left w:val="nil"/>
              <w:bottom w:val="nil"/>
              <w:right w:val="nil"/>
            </w:tcBorders>
            <w:shd w:val="clear" w:color="auto" w:fill="auto"/>
            <w:noWrap/>
            <w:vAlign w:val="bottom"/>
            <w:hideMark/>
          </w:tcPr>
          <w:p w14:paraId="111D6DEF" w14:textId="77777777" w:rsidR="00CE6DBC" w:rsidRPr="00B6769F" w:rsidRDefault="00CE6DBC" w:rsidP="00CE6DBC">
            <w:pPr>
              <w:rPr>
                <w:sz w:val="20"/>
                <w:szCs w:val="20"/>
              </w:rPr>
            </w:pPr>
            <w:r>
              <w:rPr>
                <w:sz w:val="20"/>
                <w:szCs w:val="20"/>
              </w:rPr>
              <w:t xml:space="preserve">        0.16*</w:t>
            </w:r>
          </w:p>
        </w:tc>
      </w:tr>
      <w:tr w:rsidR="00CE6DBC" w:rsidRPr="00B6769F" w14:paraId="50D71776" w14:textId="77777777" w:rsidTr="00CE6DBC">
        <w:trPr>
          <w:trHeight w:val="332"/>
        </w:trPr>
        <w:tc>
          <w:tcPr>
            <w:tcW w:w="5721" w:type="dxa"/>
            <w:tcBorders>
              <w:top w:val="nil"/>
              <w:left w:val="nil"/>
              <w:bottom w:val="nil"/>
              <w:right w:val="nil"/>
            </w:tcBorders>
            <w:shd w:val="clear" w:color="auto" w:fill="auto"/>
            <w:noWrap/>
            <w:vAlign w:val="bottom"/>
            <w:hideMark/>
          </w:tcPr>
          <w:p w14:paraId="2ACD1131" w14:textId="77777777" w:rsidR="00CE6DBC" w:rsidRPr="00B6769F" w:rsidRDefault="00CE6DBC" w:rsidP="00CE6DBC">
            <w:pPr>
              <w:rPr>
                <w:rFonts w:ascii="Calibri" w:hAnsi="Calibri"/>
                <w:color w:val="000000"/>
                <w:sz w:val="22"/>
                <w:szCs w:val="22"/>
              </w:rPr>
            </w:pPr>
            <w:r>
              <w:rPr>
                <w:rFonts w:ascii="Calibri" w:hAnsi="Calibri"/>
                <w:color w:val="000000"/>
                <w:sz w:val="22"/>
                <w:szCs w:val="22"/>
              </w:rPr>
              <w:t>5</w:t>
            </w:r>
            <w:r w:rsidRPr="00B6769F">
              <w:rPr>
                <w:rFonts w:ascii="Calibri" w:hAnsi="Calibri"/>
                <w:color w:val="000000"/>
                <w:sz w:val="22"/>
                <w:szCs w:val="22"/>
              </w:rPr>
              <w:t>. Limiting behavior</w:t>
            </w:r>
          </w:p>
        </w:tc>
        <w:tc>
          <w:tcPr>
            <w:tcW w:w="1039" w:type="dxa"/>
            <w:tcBorders>
              <w:top w:val="nil"/>
              <w:left w:val="nil"/>
              <w:bottom w:val="nil"/>
              <w:right w:val="nil"/>
            </w:tcBorders>
            <w:shd w:val="clear" w:color="auto" w:fill="auto"/>
            <w:noWrap/>
            <w:vAlign w:val="bottom"/>
            <w:hideMark/>
          </w:tcPr>
          <w:p w14:paraId="181947F0" w14:textId="77777777" w:rsidR="00CE6DBC" w:rsidRPr="00B6769F" w:rsidRDefault="00CE6DBC" w:rsidP="00CE6DBC">
            <w:pPr>
              <w:rPr>
                <w:rFonts w:ascii="Calibri" w:hAnsi="Calibri"/>
                <w:sz w:val="22"/>
                <w:szCs w:val="22"/>
              </w:rPr>
            </w:pPr>
          </w:p>
        </w:tc>
        <w:tc>
          <w:tcPr>
            <w:tcW w:w="1039" w:type="dxa"/>
            <w:tcBorders>
              <w:top w:val="nil"/>
              <w:left w:val="nil"/>
              <w:bottom w:val="nil"/>
              <w:right w:val="nil"/>
            </w:tcBorders>
            <w:shd w:val="clear" w:color="auto" w:fill="auto"/>
            <w:noWrap/>
            <w:vAlign w:val="bottom"/>
            <w:hideMark/>
          </w:tcPr>
          <w:p w14:paraId="1CE99270" w14:textId="77777777" w:rsidR="00CE6DBC" w:rsidRPr="00B6769F" w:rsidRDefault="00CE6DBC" w:rsidP="00CE6DBC">
            <w:pPr>
              <w:rPr>
                <w:sz w:val="20"/>
                <w:szCs w:val="20"/>
              </w:rPr>
            </w:pPr>
          </w:p>
        </w:tc>
        <w:tc>
          <w:tcPr>
            <w:tcW w:w="1040" w:type="dxa"/>
            <w:tcBorders>
              <w:top w:val="nil"/>
              <w:left w:val="nil"/>
              <w:bottom w:val="nil"/>
              <w:right w:val="nil"/>
            </w:tcBorders>
            <w:shd w:val="clear" w:color="auto" w:fill="auto"/>
            <w:noWrap/>
            <w:vAlign w:val="bottom"/>
            <w:hideMark/>
          </w:tcPr>
          <w:p w14:paraId="47A39AC5" w14:textId="77777777" w:rsidR="00CE6DBC" w:rsidRPr="00B6769F" w:rsidRDefault="00CE6DBC" w:rsidP="00CE6DBC">
            <w:pPr>
              <w:rPr>
                <w:sz w:val="20"/>
                <w:szCs w:val="20"/>
              </w:rPr>
            </w:pPr>
          </w:p>
        </w:tc>
        <w:tc>
          <w:tcPr>
            <w:tcW w:w="1207" w:type="dxa"/>
            <w:tcBorders>
              <w:top w:val="nil"/>
              <w:left w:val="nil"/>
              <w:bottom w:val="nil"/>
              <w:right w:val="nil"/>
            </w:tcBorders>
            <w:shd w:val="clear" w:color="auto" w:fill="auto"/>
            <w:noWrap/>
            <w:vAlign w:val="bottom"/>
            <w:hideMark/>
          </w:tcPr>
          <w:p w14:paraId="6A75475D" w14:textId="77777777" w:rsidR="00CE6DBC" w:rsidRPr="00B6769F" w:rsidRDefault="00CE6DBC" w:rsidP="00CE6DBC">
            <w:pPr>
              <w:rPr>
                <w:sz w:val="20"/>
                <w:szCs w:val="20"/>
              </w:rPr>
            </w:pPr>
          </w:p>
        </w:tc>
        <w:tc>
          <w:tcPr>
            <w:tcW w:w="1207" w:type="dxa"/>
            <w:tcBorders>
              <w:top w:val="nil"/>
              <w:left w:val="nil"/>
              <w:bottom w:val="nil"/>
              <w:right w:val="nil"/>
            </w:tcBorders>
            <w:shd w:val="clear" w:color="auto" w:fill="auto"/>
            <w:noWrap/>
            <w:vAlign w:val="bottom"/>
            <w:hideMark/>
          </w:tcPr>
          <w:p w14:paraId="303FA5C9" w14:textId="77777777" w:rsidR="00CE6DBC" w:rsidRPr="00B6769F" w:rsidRDefault="00CE6DBC" w:rsidP="00CE6DBC">
            <w:pPr>
              <w:rPr>
                <w:sz w:val="20"/>
                <w:szCs w:val="20"/>
              </w:rPr>
            </w:pPr>
            <w:r>
              <w:rPr>
                <w:sz w:val="20"/>
                <w:szCs w:val="20"/>
              </w:rPr>
              <w:t xml:space="preserve">        0.33**</w:t>
            </w:r>
          </w:p>
        </w:tc>
        <w:tc>
          <w:tcPr>
            <w:tcW w:w="1207" w:type="dxa"/>
            <w:tcBorders>
              <w:top w:val="nil"/>
              <w:left w:val="nil"/>
              <w:bottom w:val="nil"/>
              <w:right w:val="nil"/>
            </w:tcBorders>
            <w:shd w:val="clear" w:color="auto" w:fill="auto"/>
            <w:noWrap/>
            <w:vAlign w:val="bottom"/>
            <w:hideMark/>
          </w:tcPr>
          <w:p w14:paraId="14C7D22F" w14:textId="77777777" w:rsidR="00CE6DBC" w:rsidRPr="00B6769F" w:rsidRDefault="00CE6DBC" w:rsidP="00CE6DBC">
            <w:pPr>
              <w:rPr>
                <w:sz w:val="20"/>
                <w:szCs w:val="20"/>
              </w:rPr>
            </w:pPr>
            <w:r>
              <w:rPr>
                <w:sz w:val="20"/>
                <w:szCs w:val="20"/>
              </w:rPr>
              <w:t xml:space="preserve">        0.24**</w:t>
            </w:r>
          </w:p>
        </w:tc>
      </w:tr>
      <w:tr w:rsidR="00CE6DBC" w:rsidRPr="00B6769F" w14:paraId="375AAD3E" w14:textId="77777777" w:rsidTr="00CE6DBC">
        <w:trPr>
          <w:trHeight w:val="332"/>
        </w:trPr>
        <w:tc>
          <w:tcPr>
            <w:tcW w:w="5721" w:type="dxa"/>
            <w:tcBorders>
              <w:top w:val="nil"/>
              <w:left w:val="nil"/>
              <w:right w:val="nil"/>
            </w:tcBorders>
            <w:shd w:val="clear" w:color="auto" w:fill="auto"/>
            <w:noWrap/>
            <w:vAlign w:val="bottom"/>
            <w:hideMark/>
          </w:tcPr>
          <w:p w14:paraId="66ABE128" w14:textId="77777777" w:rsidR="00CE6DBC" w:rsidRPr="00B6769F" w:rsidRDefault="00CE6DBC" w:rsidP="00CE6DBC">
            <w:pPr>
              <w:rPr>
                <w:rFonts w:ascii="Calibri" w:hAnsi="Calibri"/>
                <w:color w:val="000000"/>
                <w:sz w:val="22"/>
                <w:szCs w:val="22"/>
              </w:rPr>
            </w:pPr>
            <w:r>
              <w:rPr>
                <w:rFonts w:ascii="Calibri" w:hAnsi="Calibri"/>
                <w:color w:val="000000"/>
                <w:sz w:val="22"/>
                <w:szCs w:val="22"/>
              </w:rPr>
              <w:t>6</w:t>
            </w:r>
            <w:r w:rsidRPr="00B6769F">
              <w:rPr>
                <w:rFonts w:ascii="Calibri" w:hAnsi="Calibri"/>
                <w:color w:val="000000"/>
                <w:sz w:val="22"/>
                <w:szCs w:val="22"/>
              </w:rPr>
              <w:t>. Practical support seeking</w:t>
            </w:r>
          </w:p>
        </w:tc>
        <w:tc>
          <w:tcPr>
            <w:tcW w:w="1039" w:type="dxa"/>
            <w:tcBorders>
              <w:top w:val="nil"/>
              <w:left w:val="nil"/>
              <w:right w:val="nil"/>
            </w:tcBorders>
            <w:shd w:val="clear" w:color="auto" w:fill="auto"/>
            <w:noWrap/>
            <w:vAlign w:val="bottom"/>
            <w:hideMark/>
          </w:tcPr>
          <w:p w14:paraId="6AE9ACD2" w14:textId="77777777" w:rsidR="00CE6DBC" w:rsidRPr="00B6769F" w:rsidRDefault="00CE6DBC" w:rsidP="00CE6DBC">
            <w:pPr>
              <w:rPr>
                <w:rFonts w:ascii="Calibri" w:hAnsi="Calibri"/>
                <w:sz w:val="22"/>
                <w:szCs w:val="22"/>
              </w:rPr>
            </w:pPr>
          </w:p>
        </w:tc>
        <w:tc>
          <w:tcPr>
            <w:tcW w:w="1039" w:type="dxa"/>
            <w:tcBorders>
              <w:top w:val="nil"/>
              <w:left w:val="nil"/>
              <w:right w:val="nil"/>
            </w:tcBorders>
            <w:shd w:val="clear" w:color="auto" w:fill="auto"/>
            <w:noWrap/>
            <w:vAlign w:val="bottom"/>
            <w:hideMark/>
          </w:tcPr>
          <w:p w14:paraId="2197E6B5" w14:textId="77777777" w:rsidR="00CE6DBC" w:rsidRPr="00B6769F" w:rsidRDefault="00CE6DBC" w:rsidP="00CE6DBC">
            <w:pPr>
              <w:rPr>
                <w:sz w:val="20"/>
                <w:szCs w:val="20"/>
              </w:rPr>
            </w:pPr>
          </w:p>
        </w:tc>
        <w:tc>
          <w:tcPr>
            <w:tcW w:w="1040" w:type="dxa"/>
            <w:tcBorders>
              <w:top w:val="nil"/>
              <w:left w:val="nil"/>
              <w:right w:val="nil"/>
            </w:tcBorders>
            <w:shd w:val="clear" w:color="auto" w:fill="auto"/>
            <w:noWrap/>
            <w:vAlign w:val="bottom"/>
            <w:hideMark/>
          </w:tcPr>
          <w:p w14:paraId="5B7A6F51" w14:textId="77777777" w:rsidR="00CE6DBC" w:rsidRPr="00B6769F" w:rsidRDefault="00CE6DBC" w:rsidP="00CE6DBC">
            <w:pPr>
              <w:rPr>
                <w:sz w:val="20"/>
                <w:szCs w:val="20"/>
              </w:rPr>
            </w:pPr>
          </w:p>
        </w:tc>
        <w:tc>
          <w:tcPr>
            <w:tcW w:w="1207" w:type="dxa"/>
            <w:tcBorders>
              <w:top w:val="nil"/>
              <w:left w:val="nil"/>
              <w:right w:val="nil"/>
            </w:tcBorders>
            <w:shd w:val="clear" w:color="auto" w:fill="auto"/>
            <w:noWrap/>
            <w:vAlign w:val="bottom"/>
            <w:hideMark/>
          </w:tcPr>
          <w:p w14:paraId="030D4DCC" w14:textId="77777777" w:rsidR="00CE6DBC" w:rsidRPr="00B6769F" w:rsidRDefault="00CE6DBC" w:rsidP="00CE6DBC">
            <w:pPr>
              <w:rPr>
                <w:sz w:val="20"/>
                <w:szCs w:val="20"/>
              </w:rPr>
            </w:pPr>
          </w:p>
        </w:tc>
        <w:tc>
          <w:tcPr>
            <w:tcW w:w="1207" w:type="dxa"/>
            <w:tcBorders>
              <w:top w:val="nil"/>
              <w:left w:val="nil"/>
              <w:right w:val="nil"/>
            </w:tcBorders>
            <w:shd w:val="clear" w:color="auto" w:fill="auto"/>
            <w:noWrap/>
            <w:vAlign w:val="bottom"/>
            <w:hideMark/>
          </w:tcPr>
          <w:p w14:paraId="306E36A5" w14:textId="77777777" w:rsidR="00CE6DBC" w:rsidRPr="00B6769F" w:rsidRDefault="00CE6DBC" w:rsidP="00CE6DBC">
            <w:pPr>
              <w:rPr>
                <w:sz w:val="20"/>
                <w:szCs w:val="20"/>
              </w:rPr>
            </w:pPr>
          </w:p>
        </w:tc>
        <w:tc>
          <w:tcPr>
            <w:tcW w:w="1207" w:type="dxa"/>
            <w:tcBorders>
              <w:top w:val="nil"/>
              <w:left w:val="nil"/>
              <w:right w:val="nil"/>
            </w:tcBorders>
            <w:shd w:val="clear" w:color="auto" w:fill="auto"/>
            <w:noWrap/>
            <w:vAlign w:val="bottom"/>
            <w:hideMark/>
          </w:tcPr>
          <w:p w14:paraId="0F331FE1" w14:textId="77777777" w:rsidR="00CE6DBC" w:rsidRPr="00B6769F" w:rsidRDefault="00CE6DBC" w:rsidP="00CE6DBC">
            <w:pPr>
              <w:rPr>
                <w:sz w:val="20"/>
                <w:szCs w:val="20"/>
              </w:rPr>
            </w:pPr>
            <w:r>
              <w:rPr>
                <w:sz w:val="20"/>
                <w:szCs w:val="20"/>
              </w:rPr>
              <w:t xml:space="preserve">        0.46**</w:t>
            </w:r>
          </w:p>
        </w:tc>
      </w:tr>
      <w:tr w:rsidR="00CE6DBC" w:rsidRPr="00B6769F" w14:paraId="402FDDDB" w14:textId="77777777" w:rsidTr="00CE6DBC">
        <w:trPr>
          <w:trHeight w:val="332"/>
        </w:trPr>
        <w:tc>
          <w:tcPr>
            <w:tcW w:w="5721" w:type="dxa"/>
            <w:tcBorders>
              <w:top w:val="nil"/>
              <w:left w:val="nil"/>
              <w:bottom w:val="single" w:sz="4" w:space="0" w:color="auto"/>
              <w:right w:val="nil"/>
            </w:tcBorders>
            <w:shd w:val="clear" w:color="auto" w:fill="auto"/>
            <w:noWrap/>
            <w:vAlign w:val="bottom"/>
            <w:hideMark/>
          </w:tcPr>
          <w:p w14:paraId="2CB4E756" w14:textId="77777777" w:rsidR="00CE6DBC" w:rsidRPr="00B6769F" w:rsidRDefault="00CE6DBC" w:rsidP="00CE6DBC">
            <w:pPr>
              <w:rPr>
                <w:rFonts w:ascii="Calibri" w:hAnsi="Calibri"/>
                <w:color w:val="000000"/>
                <w:sz w:val="22"/>
                <w:szCs w:val="22"/>
              </w:rPr>
            </w:pPr>
            <w:r>
              <w:rPr>
                <w:rFonts w:ascii="Calibri" w:hAnsi="Calibri"/>
                <w:color w:val="000000"/>
                <w:sz w:val="22"/>
                <w:szCs w:val="22"/>
              </w:rPr>
              <w:t>7</w:t>
            </w:r>
            <w:r w:rsidRPr="00B6769F">
              <w:rPr>
                <w:rFonts w:ascii="Calibri" w:hAnsi="Calibri"/>
                <w:color w:val="000000"/>
                <w:sz w:val="22"/>
                <w:szCs w:val="22"/>
              </w:rPr>
              <w:t>. Emotional support seeking</w:t>
            </w:r>
          </w:p>
        </w:tc>
        <w:tc>
          <w:tcPr>
            <w:tcW w:w="1039" w:type="dxa"/>
            <w:tcBorders>
              <w:top w:val="nil"/>
              <w:left w:val="nil"/>
              <w:bottom w:val="single" w:sz="4" w:space="0" w:color="auto"/>
              <w:right w:val="nil"/>
            </w:tcBorders>
            <w:shd w:val="clear" w:color="auto" w:fill="auto"/>
            <w:noWrap/>
            <w:vAlign w:val="bottom"/>
            <w:hideMark/>
          </w:tcPr>
          <w:p w14:paraId="331B907B" w14:textId="77777777" w:rsidR="00CE6DBC" w:rsidRPr="00B6769F" w:rsidRDefault="00CE6DBC" w:rsidP="00CE6DBC">
            <w:pPr>
              <w:rPr>
                <w:rFonts w:ascii="Calibri" w:hAnsi="Calibri"/>
                <w:sz w:val="22"/>
                <w:szCs w:val="22"/>
              </w:rPr>
            </w:pPr>
          </w:p>
        </w:tc>
        <w:tc>
          <w:tcPr>
            <w:tcW w:w="1039" w:type="dxa"/>
            <w:tcBorders>
              <w:top w:val="nil"/>
              <w:left w:val="nil"/>
              <w:bottom w:val="single" w:sz="4" w:space="0" w:color="auto"/>
              <w:right w:val="nil"/>
            </w:tcBorders>
            <w:shd w:val="clear" w:color="auto" w:fill="auto"/>
            <w:noWrap/>
            <w:vAlign w:val="bottom"/>
            <w:hideMark/>
          </w:tcPr>
          <w:p w14:paraId="4382880A" w14:textId="77777777" w:rsidR="00CE6DBC" w:rsidRPr="00B6769F" w:rsidRDefault="00CE6DBC" w:rsidP="00CE6DBC">
            <w:pPr>
              <w:rPr>
                <w:sz w:val="20"/>
                <w:szCs w:val="20"/>
              </w:rPr>
            </w:pPr>
          </w:p>
        </w:tc>
        <w:tc>
          <w:tcPr>
            <w:tcW w:w="1040" w:type="dxa"/>
            <w:tcBorders>
              <w:top w:val="nil"/>
              <w:left w:val="nil"/>
              <w:bottom w:val="single" w:sz="4" w:space="0" w:color="auto"/>
              <w:right w:val="nil"/>
            </w:tcBorders>
            <w:shd w:val="clear" w:color="auto" w:fill="auto"/>
            <w:noWrap/>
            <w:vAlign w:val="bottom"/>
            <w:hideMark/>
          </w:tcPr>
          <w:p w14:paraId="01A9BACF" w14:textId="77777777" w:rsidR="00CE6DBC" w:rsidRPr="00B6769F" w:rsidRDefault="00CE6DBC" w:rsidP="00CE6DBC">
            <w:pPr>
              <w:rPr>
                <w:sz w:val="20"/>
                <w:szCs w:val="20"/>
              </w:rPr>
            </w:pPr>
          </w:p>
        </w:tc>
        <w:tc>
          <w:tcPr>
            <w:tcW w:w="1207" w:type="dxa"/>
            <w:tcBorders>
              <w:top w:val="nil"/>
              <w:left w:val="nil"/>
              <w:bottom w:val="single" w:sz="4" w:space="0" w:color="auto"/>
              <w:right w:val="nil"/>
            </w:tcBorders>
            <w:shd w:val="clear" w:color="auto" w:fill="auto"/>
            <w:noWrap/>
            <w:vAlign w:val="bottom"/>
            <w:hideMark/>
          </w:tcPr>
          <w:p w14:paraId="67703C23" w14:textId="77777777" w:rsidR="00CE6DBC" w:rsidRPr="00B6769F" w:rsidRDefault="00CE6DBC" w:rsidP="00CE6DBC">
            <w:pPr>
              <w:rPr>
                <w:sz w:val="20"/>
                <w:szCs w:val="20"/>
              </w:rPr>
            </w:pPr>
          </w:p>
        </w:tc>
        <w:tc>
          <w:tcPr>
            <w:tcW w:w="1207" w:type="dxa"/>
            <w:tcBorders>
              <w:top w:val="nil"/>
              <w:left w:val="nil"/>
              <w:bottom w:val="single" w:sz="4" w:space="0" w:color="auto"/>
              <w:right w:val="nil"/>
            </w:tcBorders>
            <w:shd w:val="clear" w:color="auto" w:fill="auto"/>
            <w:noWrap/>
            <w:vAlign w:val="bottom"/>
            <w:hideMark/>
          </w:tcPr>
          <w:p w14:paraId="57BFF99C" w14:textId="77777777" w:rsidR="00CE6DBC" w:rsidRPr="00B6769F" w:rsidRDefault="00CE6DBC" w:rsidP="00CE6DBC">
            <w:pPr>
              <w:rPr>
                <w:sz w:val="20"/>
                <w:szCs w:val="20"/>
              </w:rPr>
            </w:pPr>
          </w:p>
        </w:tc>
        <w:tc>
          <w:tcPr>
            <w:tcW w:w="1207" w:type="dxa"/>
            <w:tcBorders>
              <w:top w:val="nil"/>
              <w:left w:val="nil"/>
              <w:bottom w:val="single" w:sz="4" w:space="0" w:color="auto"/>
              <w:right w:val="nil"/>
            </w:tcBorders>
            <w:shd w:val="clear" w:color="auto" w:fill="auto"/>
            <w:noWrap/>
            <w:vAlign w:val="bottom"/>
            <w:hideMark/>
          </w:tcPr>
          <w:p w14:paraId="7AD7B461" w14:textId="77777777" w:rsidR="00CE6DBC" w:rsidRPr="00B6769F" w:rsidRDefault="00CE6DBC" w:rsidP="00CE6DBC">
            <w:pPr>
              <w:rPr>
                <w:sz w:val="20"/>
                <w:szCs w:val="20"/>
              </w:rPr>
            </w:pPr>
          </w:p>
        </w:tc>
      </w:tr>
      <w:tr w:rsidR="00CE6DBC" w:rsidRPr="00B6769F" w14:paraId="65AAD15B" w14:textId="77777777" w:rsidTr="00CE6DBC">
        <w:trPr>
          <w:trHeight w:val="739"/>
        </w:trPr>
        <w:tc>
          <w:tcPr>
            <w:tcW w:w="7799" w:type="dxa"/>
            <w:gridSpan w:val="3"/>
            <w:tcBorders>
              <w:top w:val="single" w:sz="4" w:space="0" w:color="auto"/>
              <w:left w:val="nil"/>
              <w:bottom w:val="nil"/>
              <w:right w:val="nil"/>
            </w:tcBorders>
            <w:shd w:val="clear" w:color="auto" w:fill="auto"/>
            <w:noWrap/>
            <w:vAlign w:val="bottom"/>
            <w:hideMark/>
          </w:tcPr>
          <w:p w14:paraId="075EF4B3" w14:textId="77777777" w:rsidR="00CE6DBC" w:rsidRDefault="00CE6DBC" w:rsidP="00CE6DBC">
            <w:pPr>
              <w:rPr>
                <w:rFonts w:ascii="Calibri" w:hAnsi="Calibri"/>
                <w:sz w:val="22"/>
                <w:szCs w:val="22"/>
              </w:rPr>
            </w:pPr>
            <w:r>
              <w:rPr>
                <w:rFonts w:ascii="Calibri" w:hAnsi="Calibri"/>
                <w:sz w:val="22"/>
                <w:szCs w:val="22"/>
              </w:rPr>
              <w:t>*p&lt;.05</w:t>
            </w:r>
          </w:p>
          <w:p w14:paraId="60DE3E35" w14:textId="77777777" w:rsidR="00CE6DBC" w:rsidRDefault="00CE6DBC" w:rsidP="00CE6DBC">
            <w:pPr>
              <w:rPr>
                <w:rFonts w:ascii="Calibri" w:hAnsi="Calibri"/>
                <w:sz w:val="22"/>
                <w:szCs w:val="22"/>
              </w:rPr>
            </w:pPr>
            <w:r w:rsidRPr="00B6769F">
              <w:rPr>
                <w:rFonts w:ascii="Calibri" w:hAnsi="Calibri"/>
                <w:sz w:val="22"/>
                <w:szCs w:val="22"/>
              </w:rPr>
              <w:t>*</w:t>
            </w:r>
            <w:r>
              <w:rPr>
                <w:rFonts w:ascii="Calibri" w:hAnsi="Calibri"/>
                <w:sz w:val="22"/>
                <w:szCs w:val="22"/>
              </w:rPr>
              <w:t>*</w:t>
            </w:r>
            <w:r w:rsidRPr="00B6769F">
              <w:rPr>
                <w:rFonts w:ascii="Calibri" w:hAnsi="Calibri"/>
                <w:sz w:val="22"/>
                <w:szCs w:val="22"/>
              </w:rPr>
              <w:t xml:space="preserve"> p&lt;.01</w:t>
            </w:r>
          </w:p>
          <w:p w14:paraId="49056686" w14:textId="77777777" w:rsidR="00CE6DBC" w:rsidRPr="00B6769F" w:rsidRDefault="00CE6DBC" w:rsidP="00CE6DBC">
            <w:pPr>
              <w:rPr>
                <w:rFonts w:ascii="Calibri" w:hAnsi="Calibri"/>
                <w:sz w:val="22"/>
                <w:szCs w:val="22"/>
              </w:rPr>
            </w:pPr>
          </w:p>
        </w:tc>
        <w:tc>
          <w:tcPr>
            <w:tcW w:w="1040" w:type="dxa"/>
            <w:tcBorders>
              <w:top w:val="single" w:sz="4" w:space="0" w:color="auto"/>
              <w:left w:val="nil"/>
              <w:bottom w:val="nil"/>
              <w:right w:val="nil"/>
            </w:tcBorders>
            <w:shd w:val="clear" w:color="auto" w:fill="auto"/>
            <w:noWrap/>
            <w:vAlign w:val="bottom"/>
            <w:hideMark/>
          </w:tcPr>
          <w:p w14:paraId="6F3AF267" w14:textId="77777777" w:rsidR="00CE6DBC" w:rsidRPr="00B6769F" w:rsidRDefault="00CE6DBC" w:rsidP="00CE6DBC">
            <w:pPr>
              <w:rPr>
                <w:rFonts w:ascii="Calibri" w:hAnsi="Calibri"/>
                <w:sz w:val="22"/>
                <w:szCs w:val="22"/>
              </w:rPr>
            </w:pPr>
          </w:p>
        </w:tc>
        <w:tc>
          <w:tcPr>
            <w:tcW w:w="1207" w:type="dxa"/>
            <w:tcBorders>
              <w:top w:val="single" w:sz="4" w:space="0" w:color="auto"/>
              <w:left w:val="nil"/>
              <w:bottom w:val="nil"/>
              <w:right w:val="nil"/>
            </w:tcBorders>
            <w:shd w:val="clear" w:color="auto" w:fill="auto"/>
            <w:noWrap/>
            <w:vAlign w:val="bottom"/>
            <w:hideMark/>
          </w:tcPr>
          <w:p w14:paraId="43723D73" w14:textId="77777777" w:rsidR="00CE6DBC" w:rsidRPr="00B6769F" w:rsidRDefault="00CE6DBC" w:rsidP="00CE6DBC">
            <w:pPr>
              <w:rPr>
                <w:sz w:val="20"/>
                <w:szCs w:val="20"/>
              </w:rPr>
            </w:pPr>
          </w:p>
        </w:tc>
        <w:tc>
          <w:tcPr>
            <w:tcW w:w="1207" w:type="dxa"/>
            <w:tcBorders>
              <w:top w:val="single" w:sz="4" w:space="0" w:color="auto"/>
              <w:left w:val="nil"/>
              <w:bottom w:val="nil"/>
              <w:right w:val="nil"/>
            </w:tcBorders>
            <w:shd w:val="clear" w:color="auto" w:fill="auto"/>
            <w:noWrap/>
            <w:vAlign w:val="bottom"/>
            <w:hideMark/>
          </w:tcPr>
          <w:p w14:paraId="10AC2B23" w14:textId="77777777" w:rsidR="00CE6DBC" w:rsidRPr="00B6769F" w:rsidRDefault="00CE6DBC" w:rsidP="00CE6DBC">
            <w:pPr>
              <w:rPr>
                <w:sz w:val="20"/>
                <w:szCs w:val="20"/>
              </w:rPr>
            </w:pPr>
          </w:p>
        </w:tc>
        <w:tc>
          <w:tcPr>
            <w:tcW w:w="1207" w:type="dxa"/>
            <w:tcBorders>
              <w:top w:val="single" w:sz="4" w:space="0" w:color="auto"/>
              <w:left w:val="nil"/>
              <w:bottom w:val="nil"/>
              <w:right w:val="nil"/>
            </w:tcBorders>
            <w:shd w:val="clear" w:color="auto" w:fill="auto"/>
            <w:noWrap/>
            <w:vAlign w:val="bottom"/>
            <w:hideMark/>
          </w:tcPr>
          <w:p w14:paraId="37FFA6B2" w14:textId="77777777" w:rsidR="00CE6DBC" w:rsidRPr="00B6769F" w:rsidRDefault="00CE6DBC" w:rsidP="00CE6DBC">
            <w:pPr>
              <w:rPr>
                <w:sz w:val="20"/>
                <w:szCs w:val="20"/>
              </w:rPr>
            </w:pPr>
          </w:p>
        </w:tc>
      </w:tr>
    </w:tbl>
    <w:p w14:paraId="1F73CAA8" w14:textId="38325A7C" w:rsidR="00694E4B" w:rsidRDefault="00694E4B" w:rsidP="00694E4B"/>
    <w:p w14:paraId="7EC61D83" w14:textId="11671BF6" w:rsidR="00694E4B" w:rsidRDefault="00694E4B" w:rsidP="00694E4B"/>
    <w:p w14:paraId="3BA8591A" w14:textId="3D0DBAB1" w:rsidR="00694E4B" w:rsidRDefault="00694E4B" w:rsidP="00694E4B"/>
    <w:p w14:paraId="52BFF117" w14:textId="2890E290" w:rsidR="00CE6DBC" w:rsidRDefault="00CE6DBC" w:rsidP="00694E4B"/>
    <w:p w14:paraId="595074AB" w14:textId="7E98B376" w:rsidR="00CE6DBC" w:rsidRDefault="00CE6DBC" w:rsidP="00694E4B"/>
    <w:p w14:paraId="4329B2EC" w14:textId="31C1E7B8" w:rsidR="00CE6DBC" w:rsidRDefault="00CE6DBC" w:rsidP="00694E4B"/>
    <w:p w14:paraId="76E34B77" w14:textId="08D31B54" w:rsidR="00CE6DBC" w:rsidRDefault="00CE6DBC" w:rsidP="00694E4B"/>
    <w:p w14:paraId="25CC2C2D" w14:textId="24C778D7" w:rsidR="00CE6DBC" w:rsidRDefault="00CE6DBC" w:rsidP="00694E4B"/>
    <w:p w14:paraId="13739651" w14:textId="545A5C78" w:rsidR="00CE6DBC" w:rsidRDefault="00CE6DBC" w:rsidP="00694E4B"/>
    <w:p w14:paraId="299A4688" w14:textId="1E908834" w:rsidR="00CE6DBC" w:rsidRDefault="00CE6DBC" w:rsidP="00694E4B"/>
    <w:p w14:paraId="29C60098" w14:textId="2C11888F" w:rsidR="00CE6DBC" w:rsidRDefault="00CE6DBC" w:rsidP="00694E4B"/>
    <w:p w14:paraId="37B09869" w14:textId="0CD3D268" w:rsidR="00CE6DBC" w:rsidRDefault="00CE6DBC" w:rsidP="00694E4B"/>
    <w:p w14:paraId="353BA697" w14:textId="4C72BB48" w:rsidR="00CE6DBC" w:rsidRDefault="00CE6DBC" w:rsidP="00694E4B"/>
    <w:p w14:paraId="68879D7C" w14:textId="35B18034" w:rsidR="00CE6DBC" w:rsidRDefault="00CE6DBC" w:rsidP="00694E4B"/>
    <w:p w14:paraId="759022C7" w14:textId="35932EF8" w:rsidR="00CE6DBC" w:rsidRDefault="00CE6DBC" w:rsidP="00694E4B"/>
    <w:p w14:paraId="6A7DB18A" w14:textId="7310E5FA" w:rsidR="00CE6DBC" w:rsidRDefault="00CE6DBC" w:rsidP="00694E4B"/>
    <w:p w14:paraId="6A53A8C5" w14:textId="267E7EA3" w:rsidR="00CE6DBC" w:rsidRDefault="00CE6DBC" w:rsidP="00694E4B"/>
    <w:p w14:paraId="5DCCEA5C" w14:textId="1947BFA3" w:rsidR="00CE6DBC" w:rsidRDefault="00CE6DBC" w:rsidP="00694E4B"/>
    <w:p w14:paraId="708F9F7D" w14:textId="77777777" w:rsidR="00CE6DBC" w:rsidRDefault="00CE6DBC" w:rsidP="00694E4B"/>
    <w:p w14:paraId="685BBB7A" w14:textId="77777777" w:rsidR="00E17797" w:rsidRDefault="00E17797" w:rsidP="00694E4B">
      <w:pPr>
        <w:tabs>
          <w:tab w:val="left" w:pos="1260"/>
        </w:tabs>
      </w:pPr>
    </w:p>
    <w:p w14:paraId="2C5B397C" w14:textId="2F80FE6A" w:rsidR="00694E4B" w:rsidRDefault="00694E4B" w:rsidP="00694E4B">
      <w:pPr>
        <w:tabs>
          <w:tab w:val="left" w:pos="1260"/>
        </w:tabs>
      </w:pPr>
      <w:r w:rsidRPr="00694E4B">
        <w:rPr>
          <w:b/>
        </w:rPr>
        <w:lastRenderedPageBreak/>
        <w:t>Figure 1.</w:t>
      </w:r>
      <w:r>
        <w:t xml:space="preserve"> Summary of mediation analys</w:t>
      </w:r>
      <w:r w:rsidR="00E17797">
        <w:t>i</w:t>
      </w:r>
      <w:r>
        <w:t xml:space="preserve">s </w:t>
      </w:r>
      <w:r w:rsidR="00E17797">
        <w:t>for threat-related illness belief model</w:t>
      </w:r>
    </w:p>
    <w:p w14:paraId="20259472" w14:textId="77777777" w:rsidR="00694E4B" w:rsidRDefault="00694E4B" w:rsidP="00694E4B">
      <w:pPr>
        <w:tabs>
          <w:tab w:val="left" w:pos="1260"/>
        </w:tabs>
      </w:pPr>
    </w:p>
    <w:p w14:paraId="4C69AAFA" w14:textId="77777777" w:rsidR="00694E4B" w:rsidRDefault="00694E4B" w:rsidP="00694E4B">
      <w:pPr>
        <w:tabs>
          <w:tab w:val="left" w:pos="1260"/>
        </w:tabs>
      </w:pPr>
    </w:p>
    <w:p w14:paraId="4CDE58B3" w14:textId="2FCBD386" w:rsidR="00694E4B" w:rsidRDefault="00427E98" w:rsidP="00694E4B">
      <w:pPr>
        <w:tabs>
          <w:tab w:val="left" w:pos="1260"/>
        </w:tabs>
        <w:jc w:val="center"/>
      </w:pPr>
      <w:r w:rsidRPr="00427E98">
        <w:rPr>
          <w:noProof/>
        </w:rPr>
        <w:drawing>
          <wp:inline distT="0" distB="0" distL="0" distR="0" wp14:anchorId="1792AA61" wp14:editId="7936363E">
            <wp:extent cx="6305550" cy="44958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5550" cy="4495800"/>
                    </a:xfrm>
                    <a:prstGeom prst="rect">
                      <a:avLst/>
                    </a:prstGeom>
                    <a:noFill/>
                    <a:ln>
                      <a:noFill/>
                    </a:ln>
                  </pic:spPr>
                </pic:pic>
              </a:graphicData>
            </a:graphic>
          </wp:inline>
        </w:drawing>
      </w:r>
    </w:p>
    <w:p w14:paraId="5702F90F" w14:textId="77777777" w:rsidR="00694E4B" w:rsidRDefault="00694E4B" w:rsidP="00694E4B">
      <w:pPr>
        <w:tabs>
          <w:tab w:val="left" w:pos="1260"/>
        </w:tabs>
      </w:pPr>
    </w:p>
    <w:p w14:paraId="7ACD1803" w14:textId="77777777" w:rsidR="00694E4B" w:rsidRDefault="00694E4B" w:rsidP="00694E4B">
      <w:pPr>
        <w:tabs>
          <w:tab w:val="left" w:pos="1260"/>
        </w:tabs>
      </w:pPr>
    </w:p>
    <w:p w14:paraId="24824622" w14:textId="58E673BA" w:rsidR="00694E4B" w:rsidRDefault="00694E4B" w:rsidP="00694E4B">
      <w:pPr>
        <w:tabs>
          <w:tab w:val="left" w:pos="1260"/>
        </w:tabs>
      </w:pPr>
      <w:r>
        <w:t xml:space="preserve">*p&lt;0.05; </w:t>
      </w:r>
      <w:proofErr w:type="spellStart"/>
      <w:r>
        <w:t>n.s</w:t>
      </w:r>
      <w:proofErr w:type="spellEnd"/>
      <w:r>
        <w:t xml:space="preserve">. not significant. </w:t>
      </w:r>
    </w:p>
    <w:p w14:paraId="55DA92A6" w14:textId="76DF71F2" w:rsidR="00694E4B" w:rsidRDefault="00694E4B" w:rsidP="00694E4B">
      <w:pPr>
        <w:tabs>
          <w:tab w:val="left" w:pos="1260"/>
        </w:tabs>
      </w:pPr>
      <w:r>
        <w:tab/>
      </w:r>
    </w:p>
    <w:p w14:paraId="44380FE9" w14:textId="77777777" w:rsidR="00E17797" w:rsidRDefault="00E17797" w:rsidP="00694E4B">
      <w:pPr>
        <w:tabs>
          <w:tab w:val="left" w:pos="1260"/>
        </w:tabs>
      </w:pPr>
    </w:p>
    <w:p w14:paraId="7989A11D" w14:textId="0FAFFA9F" w:rsidR="00694E4B" w:rsidRDefault="00694E4B" w:rsidP="00694E4B">
      <w:pPr>
        <w:tabs>
          <w:tab w:val="left" w:pos="1260"/>
        </w:tabs>
      </w:pPr>
      <w:r w:rsidRPr="00E17797">
        <w:rPr>
          <w:b/>
        </w:rPr>
        <w:lastRenderedPageBreak/>
        <w:t>Figure 2.</w:t>
      </w:r>
      <w:r>
        <w:t xml:space="preserve"> Summary of mediation analysis</w:t>
      </w:r>
      <w:r w:rsidR="00E17797">
        <w:t xml:space="preserve"> for protective illness belief model</w:t>
      </w:r>
    </w:p>
    <w:p w14:paraId="2A1994ED" w14:textId="77777777" w:rsidR="00694E4B" w:rsidRDefault="00694E4B" w:rsidP="00694E4B">
      <w:pPr>
        <w:tabs>
          <w:tab w:val="left" w:pos="1260"/>
        </w:tabs>
      </w:pPr>
    </w:p>
    <w:p w14:paraId="0642E1DB" w14:textId="77777777" w:rsidR="00694E4B" w:rsidRDefault="00694E4B" w:rsidP="00694E4B">
      <w:pPr>
        <w:tabs>
          <w:tab w:val="left" w:pos="1260"/>
        </w:tabs>
      </w:pPr>
    </w:p>
    <w:p w14:paraId="64D580DB" w14:textId="5F2A753C" w:rsidR="00694E4B" w:rsidRDefault="004A65AC" w:rsidP="00E17797">
      <w:pPr>
        <w:tabs>
          <w:tab w:val="left" w:pos="1260"/>
        </w:tabs>
        <w:jc w:val="center"/>
      </w:pPr>
      <w:r w:rsidRPr="004A65AC">
        <w:rPr>
          <w:noProof/>
        </w:rPr>
        <w:drawing>
          <wp:inline distT="0" distB="0" distL="0" distR="0" wp14:anchorId="3720ED1F" wp14:editId="22E2502C">
            <wp:extent cx="6305550" cy="44958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5550" cy="4495800"/>
                    </a:xfrm>
                    <a:prstGeom prst="rect">
                      <a:avLst/>
                    </a:prstGeom>
                    <a:noFill/>
                    <a:ln>
                      <a:noFill/>
                    </a:ln>
                  </pic:spPr>
                </pic:pic>
              </a:graphicData>
            </a:graphic>
          </wp:inline>
        </w:drawing>
      </w:r>
    </w:p>
    <w:p w14:paraId="1075745B" w14:textId="77777777" w:rsidR="00694E4B" w:rsidRDefault="00694E4B" w:rsidP="00694E4B">
      <w:pPr>
        <w:tabs>
          <w:tab w:val="left" w:pos="1260"/>
        </w:tabs>
      </w:pPr>
    </w:p>
    <w:p w14:paraId="0B022F11" w14:textId="77777777" w:rsidR="00694E4B" w:rsidRDefault="00694E4B" w:rsidP="00694E4B">
      <w:pPr>
        <w:tabs>
          <w:tab w:val="left" w:pos="1260"/>
        </w:tabs>
      </w:pPr>
    </w:p>
    <w:p w14:paraId="056DE29A" w14:textId="78CB7ACD" w:rsidR="00694E4B" w:rsidRDefault="00A44722" w:rsidP="00694E4B">
      <w:pPr>
        <w:tabs>
          <w:tab w:val="left" w:pos="1260"/>
        </w:tabs>
      </w:pPr>
      <w:r>
        <w:t xml:space="preserve">*p&lt;0.05; </w:t>
      </w:r>
      <w:proofErr w:type="spellStart"/>
      <w:r>
        <w:t>n.s</w:t>
      </w:r>
      <w:proofErr w:type="spellEnd"/>
      <w:r>
        <w:t xml:space="preserve">. not significant. </w:t>
      </w:r>
    </w:p>
    <w:p w14:paraId="48F1B075" w14:textId="77777777" w:rsidR="00694E4B" w:rsidRDefault="00694E4B" w:rsidP="00694E4B">
      <w:pPr>
        <w:tabs>
          <w:tab w:val="left" w:pos="1260"/>
        </w:tabs>
      </w:pPr>
    </w:p>
    <w:p w14:paraId="7B5497CB" w14:textId="77777777" w:rsidR="00694E4B" w:rsidRDefault="00694E4B" w:rsidP="00694E4B">
      <w:pPr>
        <w:tabs>
          <w:tab w:val="left" w:pos="1260"/>
        </w:tabs>
      </w:pPr>
    </w:p>
    <w:p w14:paraId="4F5B5E69" w14:textId="77504A3E" w:rsidR="00694E4B" w:rsidRPr="00694E4B" w:rsidRDefault="00694E4B" w:rsidP="00694E4B">
      <w:pPr>
        <w:tabs>
          <w:tab w:val="left" w:pos="1260"/>
        </w:tabs>
        <w:sectPr w:rsidR="00694E4B" w:rsidRPr="00694E4B" w:rsidSect="00B6769F">
          <w:pgSz w:w="15840" w:h="12240" w:orient="landscape" w:code="1"/>
          <w:pgMar w:top="1440" w:right="1440" w:bottom="1440" w:left="1440" w:header="720" w:footer="720" w:gutter="0"/>
          <w:cols w:space="720"/>
          <w:docGrid w:linePitch="360"/>
        </w:sectPr>
      </w:pPr>
    </w:p>
    <w:p w14:paraId="743F102D" w14:textId="61FA5DA1" w:rsidR="00B6769F" w:rsidRDefault="00B6769F" w:rsidP="00B6769F"/>
    <w:p w14:paraId="217FCED4" w14:textId="0FF63AEB" w:rsidR="00EB40FC" w:rsidRDefault="00D67795" w:rsidP="00D67795">
      <w:pPr>
        <w:jc w:val="center"/>
      </w:pPr>
      <w:r>
        <w:t>References</w:t>
      </w:r>
    </w:p>
    <w:p w14:paraId="3F2E6293" w14:textId="77777777" w:rsidR="00EB40FC" w:rsidRDefault="00EB40FC" w:rsidP="00EB40FC"/>
    <w:p w14:paraId="0A8EB114" w14:textId="2603FC2A" w:rsidR="00E0246F" w:rsidRDefault="00E0246F" w:rsidP="00E0246F">
      <w:pPr>
        <w:pStyle w:val="ListParagraph"/>
        <w:numPr>
          <w:ilvl w:val="0"/>
          <w:numId w:val="1"/>
        </w:numPr>
      </w:pPr>
      <w:r>
        <w:t xml:space="preserve">Haller H, Cramer H, </w:t>
      </w:r>
      <w:proofErr w:type="spellStart"/>
      <w:r>
        <w:t>Lauche</w:t>
      </w:r>
      <w:proofErr w:type="spellEnd"/>
      <w:r>
        <w:t xml:space="preserve"> R, and </w:t>
      </w:r>
      <w:proofErr w:type="spellStart"/>
      <w:r>
        <w:t>Dobos</w:t>
      </w:r>
      <w:proofErr w:type="spellEnd"/>
      <w:r>
        <w:t xml:space="preserve"> G</w:t>
      </w:r>
      <w:r w:rsidR="005C580D">
        <w:t>.</w:t>
      </w:r>
      <w:r>
        <w:t xml:space="preserve"> Somatoform disorders and medically unexplained symptoms in primary care: A systematic review and meta-analysis of prevalence.  </w:t>
      </w:r>
      <w:proofErr w:type="spellStart"/>
      <w:r w:rsidRPr="00E0246F">
        <w:rPr>
          <w:i/>
        </w:rPr>
        <w:t>Dtsch</w:t>
      </w:r>
      <w:proofErr w:type="spellEnd"/>
      <w:r w:rsidRPr="00E0246F">
        <w:rPr>
          <w:i/>
        </w:rPr>
        <w:t xml:space="preserve"> </w:t>
      </w:r>
      <w:proofErr w:type="spellStart"/>
      <w:r w:rsidRPr="00E0246F">
        <w:rPr>
          <w:i/>
        </w:rPr>
        <w:t>Arztebl</w:t>
      </w:r>
      <w:proofErr w:type="spellEnd"/>
      <w:r w:rsidRPr="00E0246F">
        <w:rPr>
          <w:i/>
        </w:rPr>
        <w:t xml:space="preserve"> Int</w:t>
      </w:r>
      <w:r w:rsidR="00F3000D">
        <w:rPr>
          <w:i/>
        </w:rPr>
        <w:t>.</w:t>
      </w:r>
      <w:r w:rsidRPr="00E0246F">
        <w:rPr>
          <w:i/>
        </w:rPr>
        <w:t xml:space="preserve"> </w:t>
      </w:r>
      <w:r w:rsidR="00F3000D">
        <w:t>2015;</w:t>
      </w:r>
      <w:r w:rsidRPr="008646C6">
        <w:t>112</w:t>
      </w:r>
      <w:r>
        <w:t xml:space="preserve">: 279–87. </w:t>
      </w:r>
      <w:proofErr w:type="spellStart"/>
      <w:r>
        <w:t>doi</w:t>
      </w:r>
      <w:proofErr w:type="spellEnd"/>
      <w:r>
        <w:t>: 10.3238/arztebl.2015.0279</w:t>
      </w:r>
    </w:p>
    <w:p w14:paraId="761BAC66" w14:textId="77777777" w:rsidR="00E0246F" w:rsidRDefault="00E0246F" w:rsidP="00EB40FC"/>
    <w:p w14:paraId="246ACC6A" w14:textId="13DEDF32" w:rsidR="00E0246F" w:rsidRPr="00C80680" w:rsidRDefault="00E0246F" w:rsidP="00E0246F">
      <w:pPr>
        <w:pStyle w:val="ListParagraph"/>
        <w:numPr>
          <w:ilvl w:val="0"/>
          <w:numId w:val="1"/>
        </w:numPr>
      </w:pPr>
      <w:proofErr w:type="spellStart"/>
      <w:r w:rsidRPr="00C80680">
        <w:t>Deary</w:t>
      </w:r>
      <w:proofErr w:type="spellEnd"/>
      <w:r w:rsidRPr="00C80680">
        <w:t xml:space="preserve"> V, Chalder T, and Sharpe M</w:t>
      </w:r>
      <w:r w:rsidR="005C580D" w:rsidRPr="00C80680">
        <w:t xml:space="preserve">. </w:t>
      </w:r>
      <w:r w:rsidRPr="00C80680">
        <w:t xml:space="preserve">The cognitive </w:t>
      </w:r>
      <w:proofErr w:type="spellStart"/>
      <w:r w:rsidRPr="00C80680">
        <w:t>behavioural</w:t>
      </w:r>
      <w:proofErr w:type="spellEnd"/>
      <w:r w:rsidRPr="00C80680">
        <w:t xml:space="preserve"> model of medically unexplained symptoms: A theoretical and empirical review</w:t>
      </w:r>
      <w:r w:rsidRPr="00C80680">
        <w:rPr>
          <w:i/>
        </w:rPr>
        <w:t>.  Clinical Psychology Review</w:t>
      </w:r>
      <w:r w:rsidR="005C580D" w:rsidRPr="00C80680">
        <w:rPr>
          <w:i/>
        </w:rPr>
        <w:t>.</w:t>
      </w:r>
      <w:r w:rsidRPr="00C80680">
        <w:rPr>
          <w:i/>
        </w:rPr>
        <w:t xml:space="preserve"> </w:t>
      </w:r>
      <w:r w:rsidR="005C580D" w:rsidRPr="00C80680">
        <w:t>2006;</w:t>
      </w:r>
      <w:r w:rsidRPr="00C80680">
        <w:t xml:space="preserve">27(7): 781-797. </w:t>
      </w:r>
      <w:proofErr w:type="spellStart"/>
      <w:r w:rsidRPr="00C80680">
        <w:t>doi</w:t>
      </w:r>
      <w:proofErr w:type="spellEnd"/>
      <w:r w:rsidRPr="00C80680">
        <w:t>: 10.1016/j.cpr.2007.07.002</w:t>
      </w:r>
    </w:p>
    <w:p w14:paraId="797AA58E" w14:textId="77777777" w:rsidR="0017128E" w:rsidRPr="00C80680" w:rsidRDefault="0017128E" w:rsidP="0017128E">
      <w:pPr>
        <w:pStyle w:val="ListParagraph"/>
      </w:pPr>
    </w:p>
    <w:p w14:paraId="26664830" w14:textId="38A30281" w:rsidR="0017128E" w:rsidRPr="00C80680" w:rsidRDefault="0017128E" w:rsidP="0017128E">
      <w:pPr>
        <w:pStyle w:val="ListParagraph"/>
        <w:numPr>
          <w:ilvl w:val="0"/>
          <w:numId w:val="1"/>
        </w:numPr>
      </w:pPr>
      <w:r w:rsidRPr="00C80680">
        <w:t xml:space="preserve">van </w:t>
      </w:r>
      <w:proofErr w:type="spellStart"/>
      <w:r w:rsidRPr="00C80680">
        <w:t>Dessel</w:t>
      </w:r>
      <w:proofErr w:type="spellEnd"/>
      <w:r w:rsidRPr="00C80680">
        <w:t xml:space="preserve"> N, den </w:t>
      </w:r>
      <w:proofErr w:type="spellStart"/>
      <w:r w:rsidRPr="00C80680">
        <w:t>Boeft</w:t>
      </w:r>
      <w:proofErr w:type="spellEnd"/>
      <w:r w:rsidRPr="00C80680">
        <w:t xml:space="preserve"> M, van der </w:t>
      </w:r>
      <w:proofErr w:type="spellStart"/>
      <w:r w:rsidRPr="00C80680">
        <w:t>Wouden</w:t>
      </w:r>
      <w:proofErr w:type="spellEnd"/>
      <w:r w:rsidRPr="00C80680">
        <w:t xml:space="preserve"> JC, </w:t>
      </w:r>
      <w:proofErr w:type="spellStart"/>
      <w:r w:rsidRPr="00C80680">
        <w:t>Kleinstäuber</w:t>
      </w:r>
      <w:proofErr w:type="spellEnd"/>
      <w:r w:rsidRPr="00C80680">
        <w:t xml:space="preserve"> M, Leone SS, </w:t>
      </w:r>
      <w:proofErr w:type="spellStart"/>
      <w:r w:rsidRPr="00C80680">
        <w:t>Terluin</w:t>
      </w:r>
      <w:proofErr w:type="spellEnd"/>
      <w:r w:rsidRPr="00C80680">
        <w:t xml:space="preserve"> B, </w:t>
      </w:r>
      <w:proofErr w:type="spellStart"/>
      <w:r w:rsidRPr="00C80680">
        <w:t>Numans</w:t>
      </w:r>
      <w:proofErr w:type="spellEnd"/>
      <w:r w:rsidRPr="00C80680">
        <w:t xml:space="preserve"> ME, van der Horst HE, van </w:t>
      </w:r>
      <w:proofErr w:type="spellStart"/>
      <w:r w:rsidRPr="00C80680">
        <w:t>Marwijk</w:t>
      </w:r>
      <w:proofErr w:type="spellEnd"/>
      <w:r w:rsidRPr="00C80680">
        <w:t xml:space="preserve"> H. Non-pharmacological interventions for somatoform disorders and medically unexplained physical symptoms (MUPS) in adults.</w:t>
      </w:r>
    </w:p>
    <w:p w14:paraId="3CEC1F7F" w14:textId="33E1957B" w:rsidR="0017128E" w:rsidRPr="00C80680" w:rsidRDefault="0017128E" w:rsidP="0017128E">
      <w:pPr>
        <w:pStyle w:val="ListParagraph"/>
      </w:pPr>
      <w:r w:rsidRPr="00C80680">
        <w:rPr>
          <w:i/>
        </w:rPr>
        <w:t>Cochrane Database of Systematic Reviews</w:t>
      </w:r>
      <w:r w:rsidRPr="00C80680">
        <w:t>. 2014;11:CD011142.</w:t>
      </w:r>
    </w:p>
    <w:p w14:paraId="68254951" w14:textId="7A26AC0A" w:rsidR="0017128E" w:rsidRPr="00C80680" w:rsidRDefault="0017128E" w:rsidP="0017128E">
      <w:pPr>
        <w:pStyle w:val="ListParagraph"/>
      </w:pPr>
      <w:proofErr w:type="spellStart"/>
      <w:r w:rsidRPr="00C80680">
        <w:t>doi</w:t>
      </w:r>
      <w:proofErr w:type="spellEnd"/>
      <w:r w:rsidRPr="00C80680">
        <w:t>: 10.1002/14651858.CD011142.pub2.</w:t>
      </w:r>
    </w:p>
    <w:p w14:paraId="3D34E70F" w14:textId="77777777" w:rsidR="00E0246F" w:rsidRPr="00C80680" w:rsidRDefault="00E0246F" w:rsidP="00EB40FC"/>
    <w:p w14:paraId="560D7D62" w14:textId="45386D27" w:rsidR="00E0246F" w:rsidRPr="00C80680" w:rsidRDefault="00E0246F" w:rsidP="00EB40FC">
      <w:pPr>
        <w:pStyle w:val="ListParagraph"/>
        <w:numPr>
          <w:ilvl w:val="0"/>
          <w:numId w:val="1"/>
        </w:numPr>
      </w:pPr>
      <w:proofErr w:type="spellStart"/>
      <w:r w:rsidRPr="00C80680">
        <w:t>Sumathipala</w:t>
      </w:r>
      <w:proofErr w:type="spellEnd"/>
      <w:r w:rsidRPr="00C80680">
        <w:t xml:space="preserve"> A</w:t>
      </w:r>
      <w:r w:rsidR="005C580D" w:rsidRPr="00C80680">
        <w:t>.</w:t>
      </w:r>
      <w:r w:rsidRPr="00C80680">
        <w:t xml:space="preserve"> What is the evidence for the efficacy of treatments for somatoform disorders? A critical review of previous intervention studies. </w:t>
      </w:r>
      <w:r w:rsidRPr="00C80680">
        <w:rPr>
          <w:i/>
        </w:rPr>
        <w:t>Psychosomatic Medicine</w:t>
      </w:r>
      <w:r w:rsidR="005C580D" w:rsidRPr="00C80680">
        <w:rPr>
          <w:i/>
        </w:rPr>
        <w:t>.</w:t>
      </w:r>
      <w:r w:rsidRPr="00C80680">
        <w:rPr>
          <w:i/>
        </w:rPr>
        <w:t xml:space="preserve"> </w:t>
      </w:r>
      <w:r w:rsidR="005C580D" w:rsidRPr="00C80680">
        <w:t>2007;</w:t>
      </w:r>
      <w:r w:rsidRPr="00C80680">
        <w:t xml:space="preserve">69: 889-900. </w:t>
      </w:r>
      <w:proofErr w:type="spellStart"/>
      <w:r w:rsidRPr="00C80680">
        <w:t>doi</w:t>
      </w:r>
      <w:proofErr w:type="spellEnd"/>
      <w:r w:rsidRPr="00C80680">
        <w:t>: 10.1097/PSY.0b013e31815b5cf6</w:t>
      </w:r>
    </w:p>
    <w:p w14:paraId="4F65485F" w14:textId="77777777" w:rsidR="00E0246F" w:rsidRPr="00C80680" w:rsidRDefault="00E0246F" w:rsidP="00726CB9"/>
    <w:p w14:paraId="0A53E42D" w14:textId="33D5D482" w:rsidR="00E0246F" w:rsidRPr="00C80680" w:rsidRDefault="00E0246F" w:rsidP="00E0246F">
      <w:pPr>
        <w:pStyle w:val="ListParagraph"/>
        <w:numPr>
          <w:ilvl w:val="0"/>
          <w:numId w:val="1"/>
        </w:numPr>
        <w:autoSpaceDE w:val="0"/>
        <w:autoSpaceDN w:val="0"/>
        <w:adjustRightInd w:val="0"/>
        <w:rPr>
          <w:rFonts w:eastAsiaTheme="minorHAnsi"/>
        </w:rPr>
      </w:pPr>
      <w:r w:rsidRPr="00C80680">
        <w:t xml:space="preserve">Geraghty KJ, and </w:t>
      </w:r>
      <w:proofErr w:type="spellStart"/>
      <w:r w:rsidRPr="00C80680">
        <w:t>Blease</w:t>
      </w:r>
      <w:proofErr w:type="spellEnd"/>
      <w:r w:rsidRPr="00C80680">
        <w:t xml:space="preserve"> C</w:t>
      </w:r>
      <w:r w:rsidR="005C580D" w:rsidRPr="00C80680">
        <w:t xml:space="preserve">. </w:t>
      </w:r>
      <w:r w:rsidRPr="00C80680">
        <w:t xml:space="preserve">Cognitive </w:t>
      </w:r>
      <w:proofErr w:type="spellStart"/>
      <w:r w:rsidRPr="00C80680">
        <w:t>behavioural</w:t>
      </w:r>
      <w:proofErr w:type="spellEnd"/>
      <w:r w:rsidRPr="00C80680">
        <w:t xml:space="preserve"> therapy in the treatment of chronic fatigue syndrome: A narrative review on efficacy and informed consent. </w:t>
      </w:r>
      <w:r w:rsidRPr="00C80680">
        <w:rPr>
          <w:i/>
        </w:rPr>
        <w:t>Journal of Health Psychology</w:t>
      </w:r>
      <w:r w:rsidR="005C580D" w:rsidRPr="00C80680">
        <w:rPr>
          <w:i/>
        </w:rPr>
        <w:t>.</w:t>
      </w:r>
      <w:r w:rsidRPr="00C80680">
        <w:rPr>
          <w:i/>
        </w:rPr>
        <w:t xml:space="preserve"> </w:t>
      </w:r>
      <w:r w:rsidR="005C580D" w:rsidRPr="00C80680">
        <w:t>2018;</w:t>
      </w:r>
      <w:r w:rsidRPr="00C80680">
        <w:t xml:space="preserve">23(1): 127-138. </w:t>
      </w:r>
      <w:proofErr w:type="spellStart"/>
      <w:r w:rsidRPr="00C80680">
        <w:t>doi</w:t>
      </w:r>
      <w:proofErr w:type="spellEnd"/>
      <w:r w:rsidRPr="00C80680">
        <w:t>:</w:t>
      </w:r>
      <w:r w:rsidRPr="00C80680">
        <w:rPr>
          <w:rFonts w:ascii="GillSansStd" w:eastAsiaTheme="minorHAnsi" w:hAnsi="GillSansStd" w:cs="GillSansStd"/>
          <w:sz w:val="14"/>
          <w:szCs w:val="14"/>
        </w:rPr>
        <w:t xml:space="preserve"> </w:t>
      </w:r>
      <w:r w:rsidRPr="00C80680">
        <w:rPr>
          <w:rFonts w:eastAsiaTheme="minorHAnsi"/>
        </w:rPr>
        <w:t>10.1177/1359105316667798</w:t>
      </w:r>
    </w:p>
    <w:p w14:paraId="5F0E0C04" w14:textId="7E6D5F43" w:rsidR="00743EEA" w:rsidRPr="00C80680" w:rsidRDefault="00743EEA" w:rsidP="00EB40FC"/>
    <w:p w14:paraId="47AB9A1D" w14:textId="11867CFE" w:rsidR="00726CB9" w:rsidRPr="00C80680" w:rsidRDefault="00726CB9" w:rsidP="00726CB9">
      <w:pPr>
        <w:pStyle w:val="ListParagraph"/>
        <w:numPr>
          <w:ilvl w:val="0"/>
          <w:numId w:val="1"/>
        </w:numPr>
      </w:pPr>
      <w:proofErr w:type="spellStart"/>
      <w:r w:rsidRPr="00C80680">
        <w:t>Larun</w:t>
      </w:r>
      <w:proofErr w:type="spellEnd"/>
      <w:r w:rsidRPr="00C80680">
        <w:t xml:space="preserve"> L, </w:t>
      </w:r>
      <w:proofErr w:type="spellStart"/>
      <w:r w:rsidRPr="00C80680">
        <w:t>Brurberg</w:t>
      </w:r>
      <w:proofErr w:type="spellEnd"/>
      <w:r w:rsidRPr="00C80680">
        <w:t xml:space="preserve"> KG, </w:t>
      </w:r>
      <w:proofErr w:type="spellStart"/>
      <w:r w:rsidRPr="00C80680">
        <w:t>Odgaard</w:t>
      </w:r>
      <w:proofErr w:type="spellEnd"/>
      <w:r w:rsidRPr="00C80680">
        <w:t xml:space="preserve">-Jensen J, Price JR. Exercise therapy for chronic fatigue syndrome. </w:t>
      </w:r>
      <w:r w:rsidRPr="00C80680">
        <w:rPr>
          <w:i/>
        </w:rPr>
        <w:t>Cochrane Database of Systematic Reviews</w:t>
      </w:r>
      <w:r w:rsidRPr="00C80680">
        <w:t xml:space="preserve">. 2017;4: CD003200. </w:t>
      </w:r>
      <w:proofErr w:type="spellStart"/>
      <w:r w:rsidRPr="00C80680">
        <w:t>doi</w:t>
      </w:r>
      <w:proofErr w:type="spellEnd"/>
      <w:r w:rsidRPr="00C80680">
        <w:t>: 10.1002/14651858.CD003200.pub7.</w:t>
      </w:r>
    </w:p>
    <w:p w14:paraId="1D4431B7" w14:textId="77777777" w:rsidR="00726CB9" w:rsidRPr="00C80680" w:rsidRDefault="00726CB9" w:rsidP="00726CB9">
      <w:pPr>
        <w:pStyle w:val="ListParagraph"/>
      </w:pPr>
    </w:p>
    <w:p w14:paraId="1D06B018" w14:textId="5B758CE8" w:rsidR="00E0246F" w:rsidRPr="00C80680" w:rsidRDefault="00E0246F" w:rsidP="00E0246F">
      <w:pPr>
        <w:pStyle w:val="ListParagraph"/>
        <w:numPr>
          <w:ilvl w:val="0"/>
          <w:numId w:val="1"/>
        </w:numPr>
      </w:pPr>
      <w:r w:rsidRPr="00C80680">
        <w:t xml:space="preserve">Donta ST, </w:t>
      </w:r>
      <w:proofErr w:type="spellStart"/>
      <w:r w:rsidRPr="00C80680">
        <w:t>Clauw</w:t>
      </w:r>
      <w:proofErr w:type="spellEnd"/>
      <w:r w:rsidRPr="00C80680">
        <w:t xml:space="preserve"> DJ, Engel CC, </w:t>
      </w:r>
      <w:r w:rsidR="005C580D" w:rsidRPr="00C80680">
        <w:t xml:space="preserve">et al. </w:t>
      </w:r>
      <w:r w:rsidRPr="00C80680">
        <w:t xml:space="preserve">Cognitive behavioral therapy and aerobic exercise for Gulf War Veterans’ Illnesses: A randomized controlled trial.  </w:t>
      </w:r>
      <w:r w:rsidRPr="00C80680">
        <w:rPr>
          <w:i/>
        </w:rPr>
        <w:t>JAMA</w:t>
      </w:r>
      <w:r w:rsidR="005C580D" w:rsidRPr="00C80680">
        <w:rPr>
          <w:i/>
        </w:rPr>
        <w:t>.</w:t>
      </w:r>
      <w:r w:rsidRPr="00C80680">
        <w:rPr>
          <w:i/>
        </w:rPr>
        <w:t xml:space="preserve"> </w:t>
      </w:r>
      <w:r w:rsidR="005C580D" w:rsidRPr="00C80680">
        <w:t>2003;</w:t>
      </w:r>
      <w:r w:rsidRPr="00C80680">
        <w:t xml:space="preserve">289(11):1396-1404 </w:t>
      </w:r>
    </w:p>
    <w:p w14:paraId="677D848E" w14:textId="77777777" w:rsidR="00E0246F" w:rsidRPr="00C80680" w:rsidRDefault="00E0246F" w:rsidP="00EB40FC"/>
    <w:p w14:paraId="11420F12" w14:textId="12273C65" w:rsidR="00E0246F" w:rsidRPr="00C80680" w:rsidRDefault="00E0246F" w:rsidP="00E0246F">
      <w:pPr>
        <w:pStyle w:val="ListParagraph"/>
        <w:numPr>
          <w:ilvl w:val="0"/>
          <w:numId w:val="1"/>
        </w:numPr>
      </w:pPr>
      <w:r w:rsidRPr="00C80680">
        <w:t xml:space="preserve">Geraghty KJ, Hann M, and </w:t>
      </w:r>
      <w:proofErr w:type="spellStart"/>
      <w:r w:rsidRPr="00C80680">
        <w:t>Kurtev</w:t>
      </w:r>
      <w:proofErr w:type="spellEnd"/>
      <w:r w:rsidRPr="00C80680">
        <w:t xml:space="preserve"> S</w:t>
      </w:r>
      <w:r w:rsidR="005C580D" w:rsidRPr="00C80680">
        <w:t xml:space="preserve">. </w:t>
      </w:r>
      <w:proofErr w:type="spellStart"/>
      <w:r w:rsidRPr="00C80680">
        <w:t>Myalgic</w:t>
      </w:r>
      <w:proofErr w:type="spellEnd"/>
      <w:r w:rsidRPr="00C80680">
        <w:t xml:space="preserve"> encephalomyelitis/chronic fatigue syndrome patients’ reports of symptom changes following cognitive </w:t>
      </w:r>
      <w:proofErr w:type="spellStart"/>
      <w:r w:rsidRPr="00C80680">
        <w:t>behavioural</w:t>
      </w:r>
      <w:proofErr w:type="spellEnd"/>
      <w:r w:rsidRPr="00C80680">
        <w:t xml:space="preserve"> therapy, graded exercise therapy and pacing treatments: Analysis of a primary survey compared with secondary surveys. </w:t>
      </w:r>
      <w:r w:rsidRPr="00C80680">
        <w:rPr>
          <w:i/>
        </w:rPr>
        <w:t>Journal of Health Psychology</w:t>
      </w:r>
      <w:r w:rsidR="001F655B" w:rsidRPr="00C80680">
        <w:rPr>
          <w:i/>
        </w:rPr>
        <w:t>.</w:t>
      </w:r>
      <w:r w:rsidRPr="00C80680">
        <w:t xml:space="preserve"> </w:t>
      </w:r>
      <w:r w:rsidR="005C580D" w:rsidRPr="00C80680">
        <w:t>2017;</w:t>
      </w:r>
      <w:r w:rsidRPr="00C80680">
        <w:t xml:space="preserve">1-16. </w:t>
      </w:r>
      <w:proofErr w:type="spellStart"/>
      <w:r w:rsidRPr="00C80680">
        <w:t>doi</w:t>
      </w:r>
      <w:proofErr w:type="spellEnd"/>
      <w:r w:rsidRPr="00C80680">
        <w:t>: 10.1177/1359105317726152</w:t>
      </w:r>
    </w:p>
    <w:p w14:paraId="3ACBAADC" w14:textId="77777777" w:rsidR="00E0246F" w:rsidRPr="00C80680" w:rsidRDefault="00E0246F" w:rsidP="00EB40FC"/>
    <w:p w14:paraId="335CB47E" w14:textId="6717D71F" w:rsidR="00E0246F" w:rsidRPr="00C80680" w:rsidRDefault="00E0246F" w:rsidP="00E0246F">
      <w:pPr>
        <w:pStyle w:val="ListParagraph"/>
        <w:numPr>
          <w:ilvl w:val="0"/>
          <w:numId w:val="1"/>
        </w:numPr>
      </w:pPr>
      <w:r w:rsidRPr="00C80680">
        <w:t>Geraghty KJ</w:t>
      </w:r>
      <w:r w:rsidR="005C580D" w:rsidRPr="00C80680">
        <w:t xml:space="preserve">. </w:t>
      </w:r>
      <w:r w:rsidRPr="00C80680">
        <w:t xml:space="preserve">‘PACE-Gate’: When clinical trial evidence meets open data access.  </w:t>
      </w:r>
      <w:r w:rsidRPr="00C80680">
        <w:rPr>
          <w:i/>
        </w:rPr>
        <w:t>Journal of Health Psychology</w:t>
      </w:r>
      <w:r w:rsidR="005C580D" w:rsidRPr="00C80680">
        <w:rPr>
          <w:i/>
        </w:rPr>
        <w:t>.</w:t>
      </w:r>
      <w:r w:rsidRPr="00C80680">
        <w:rPr>
          <w:i/>
        </w:rPr>
        <w:t xml:space="preserve"> </w:t>
      </w:r>
      <w:r w:rsidR="005C580D" w:rsidRPr="00C80680">
        <w:t>2017;</w:t>
      </w:r>
      <w:r w:rsidRPr="00C80680">
        <w:t>22(9):1106-1112. doi:10.1177/1359105316675213</w:t>
      </w:r>
    </w:p>
    <w:p w14:paraId="3B5164C3" w14:textId="77777777" w:rsidR="00E0246F" w:rsidRPr="00C80680" w:rsidRDefault="00E0246F" w:rsidP="00EB40FC"/>
    <w:p w14:paraId="64ECF0FB" w14:textId="279DB4FD" w:rsidR="00E0246F" w:rsidRPr="00C80680" w:rsidRDefault="00E0246F" w:rsidP="00E0246F">
      <w:pPr>
        <w:pStyle w:val="ListParagraph"/>
        <w:numPr>
          <w:ilvl w:val="0"/>
          <w:numId w:val="1"/>
        </w:numPr>
      </w:pPr>
      <w:r w:rsidRPr="00C80680">
        <w:t>Mitchell, AJ</w:t>
      </w:r>
      <w:r w:rsidR="001F655B" w:rsidRPr="00C80680">
        <w:t>.</w:t>
      </w:r>
      <w:r w:rsidRPr="00C80680">
        <w:t xml:space="preserve"> Controversy over exercise therapy for chronic fatigue syndrome: key lessons for clinicians and academics. </w:t>
      </w:r>
      <w:proofErr w:type="spellStart"/>
      <w:r w:rsidRPr="00C80680">
        <w:rPr>
          <w:i/>
        </w:rPr>
        <w:t>BJPsych</w:t>
      </w:r>
      <w:proofErr w:type="spellEnd"/>
      <w:r w:rsidRPr="00C80680">
        <w:rPr>
          <w:i/>
        </w:rPr>
        <w:t xml:space="preserve"> Advances</w:t>
      </w:r>
      <w:r w:rsidR="001F655B" w:rsidRPr="00C80680">
        <w:rPr>
          <w:i/>
        </w:rPr>
        <w:t>.</w:t>
      </w:r>
      <w:r w:rsidRPr="00C80680">
        <w:t xml:space="preserve"> </w:t>
      </w:r>
      <w:proofErr w:type="gramStart"/>
      <w:r w:rsidR="001F655B" w:rsidRPr="00C80680">
        <w:t>2017;</w:t>
      </w:r>
      <w:r w:rsidRPr="00C80680">
        <w:t>23:145</w:t>
      </w:r>
      <w:proofErr w:type="gramEnd"/>
      <w:r w:rsidRPr="00C80680">
        <w:t xml:space="preserve">-148. </w:t>
      </w:r>
      <w:proofErr w:type="spellStart"/>
      <w:r w:rsidRPr="00C80680">
        <w:t>doi</w:t>
      </w:r>
      <w:proofErr w:type="spellEnd"/>
      <w:r w:rsidRPr="00C80680">
        <w:t>: 10.1192/apt.bp.116.016261</w:t>
      </w:r>
    </w:p>
    <w:p w14:paraId="37C38624" w14:textId="77777777" w:rsidR="00E0246F" w:rsidRPr="00C80680" w:rsidRDefault="00E0246F" w:rsidP="00EB40FC"/>
    <w:p w14:paraId="41F37C86" w14:textId="776A930B" w:rsidR="00220211" w:rsidRPr="00C80680" w:rsidRDefault="00220211" w:rsidP="00220211">
      <w:pPr>
        <w:pStyle w:val="ListParagraph"/>
        <w:numPr>
          <w:ilvl w:val="0"/>
          <w:numId w:val="1"/>
        </w:numPr>
      </w:pPr>
      <w:r w:rsidRPr="00C80680">
        <w:lastRenderedPageBreak/>
        <w:t>Spence M, Moss-Morris R, and Chalder T</w:t>
      </w:r>
      <w:r w:rsidR="001F655B" w:rsidRPr="00C80680">
        <w:t>.</w:t>
      </w:r>
      <w:r w:rsidRPr="00C80680">
        <w:t xml:space="preserve"> The </w:t>
      </w:r>
      <w:proofErr w:type="spellStart"/>
      <w:r w:rsidRPr="00C80680">
        <w:t>Behavioural</w:t>
      </w:r>
      <w:proofErr w:type="spellEnd"/>
      <w:r w:rsidRPr="00C80680">
        <w:t xml:space="preserve"> Responses to Illness Questionnaire (BRIQ</w:t>
      </w:r>
      <w:proofErr w:type="gramStart"/>
      <w:r w:rsidRPr="00C80680">
        <w:t>):A</w:t>
      </w:r>
      <w:proofErr w:type="gramEnd"/>
      <w:r w:rsidRPr="00C80680">
        <w:t xml:space="preserve"> new predictive measure of medically unexplained symptoms following acute infection. </w:t>
      </w:r>
      <w:r w:rsidRPr="00C80680">
        <w:rPr>
          <w:i/>
        </w:rPr>
        <w:t>Psychological Medicine</w:t>
      </w:r>
      <w:r w:rsidR="001F655B" w:rsidRPr="00C80680">
        <w:rPr>
          <w:i/>
        </w:rPr>
        <w:t>.</w:t>
      </w:r>
      <w:r w:rsidRPr="00C80680">
        <w:rPr>
          <w:i/>
        </w:rPr>
        <w:t xml:space="preserve"> </w:t>
      </w:r>
      <w:proofErr w:type="gramStart"/>
      <w:r w:rsidR="001F655B" w:rsidRPr="00C80680">
        <w:t>2005;</w:t>
      </w:r>
      <w:r w:rsidRPr="00C80680">
        <w:t>35:583</w:t>
      </w:r>
      <w:proofErr w:type="gramEnd"/>
      <w:r w:rsidRPr="00C80680">
        <w:t xml:space="preserve">-593. </w:t>
      </w:r>
      <w:proofErr w:type="spellStart"/>
      <w:r w:rsidRPr="00C80680">
        <w:t>doi</w:t>
      </w:r>
      <w:proofErr w:type="spellEnd"/>
      <w:r w:rsidRPr="00C80680">
        <w:t>: 10.1017/S0033291704003484</w:t>
      </w:r>
    </w:p>
    <w:p w14:paraId="4878EC6F" w14:textId="77777777" w:rsidR="004F2EC0" w:rsidRPr="00C80680" w:rsidRDefault="004F2EC0" w:rsidP="004F2EC0">
      <w:pPr>
        <w:pStyle w:val="ListParagraph"/>
      </w:pPr>
    </w:p>
    <w:p w14:paraId="1ADA6C49" w14:textId="601A98F3" w:rsidR="004F2EC0" w:rsidRPr="00C80680" w:rsidRDefault="004F2EC0" w:rsidP="004F2EC0">
      <w:pPr>
        <w:pStyle w:val="ListParagraph"/>
        <w:numPr>
          <w:ilvl w:val="0"/>
          <w:numId w:val="1"/>
        </w:numPr>
      </w:pPr>
      <w:r w:rsidRPr="00C80680">
        <w:t>Moss-Morris R, Spence MJ, and Hou R</w:t>
      </w:r>
      <w:r w:rsidR="001F655B" w:rsidRPr="00C80680">
        <w:t>.</w:t>
      </w:r>
      <w:r w:rsidRPr="00C80680">
        <w:t xml:space="preserve"> The pathway from glandular fever to chronic fatigue syndrome: Can the cognitive </w:t>
      </w:r>
      <w:proofErr w:type="spellStart"/>
      <w:r w:rsidRPr="00C80680">
        <w:t>behavioural</w:t>
      </w:r>
      <w:proofErr w:type="spellEnd"/>
      <w:r w:rsidRPr="00C80680">
        <w:t xml:space="preserve"> model provide the map? </w:t>
      </w:r>
      <w:r w:rsidRPr="00C80680">
        <w:rPr>
          <w:i/>
        </w:rPr>
        <w:t>Psychological Medicine</w:t>
      </w:r>
      <w:r w:rsidR="001F655B" w:rsidRPr="00C80680">
        <w:rPr>
          <w:i/>
        </w:rPr>
        <w:t>.</w:t>
      </w:r>
      <w:r w:rsidRPr="00C80680">
        <w:rPr>
          <w:i/>
        </w:rPr>
        <w:t xml:space="preserve"> </w:t>
      </w:r>
      <w:r w:rsidR="001F655B" w:rsidRPr="00C80680">
        <w:t>2011;</w:t>
      </w:r>
      <w:r w:rsidRPr="00C80680">
        <w:t>41(5):1099-1107. doi:10.1017/S003329171000139X</w:t>
      </w:r>
    </w:p>
    <w:p w14:paraId="0370D8CF" w14:textId="77777777" w:rsidR="004F2EC0" w:rsidRPr="00C80680" w:rsidRDefault="004F2EC0" w:rsidP="004F2EC0">
      <w:pPr>
        <w:pStyle w:val="ListParagraph"/>
      </w:pPr>
    </w:p>
    <w:p w14:paraId="66438795" w14:textId="38A7F9CD" w:rsidR="00220211" w:rsidRPr="00C80680" w:rsidRDefault="004F2EC0" w:rsidP="00EB40FC">
      <w:pPr>
        <w:pStyle w:val="ListParagraph"/>
        <w:numPr>
          <w:ilvl w:val="0"/>
          <w:numId w:val="1"/>
        </w:numPr>
      </w:pPr>
      <w:r w:rsidRPr="00C80680">
        <w:t xml:space="preserve">Spence, MJ, Moss-Morris, R. The cognitive </w:t>
      </w:r>
      <w:proofErr w:type="spellStart"/>
      <w:r w:rsidRPr="00C80680">
        <w:t>behavioural</w:t>
      </w:r>
      <w:proofErr w:type="spellEnd"/>
      <w:r w:rsidRPr="00C80680">
        <w:t xml:space="preserve"> model of irritable bowel syndrome:</w:t>
      </w:r>
      <w:r w:rsidR="0012776F" w:rsidRPr="00C80680">
        <w:t xml:space="preserve"> a prospective investigation of patients with gastroenteritis. </w:t>
      </w:r>
      <w:r w:rsidR="002C050F" w:rsidRPr="00C80680">
        <w:rPr>
          <w:i/>
        </w:rPr>
        <w:t>Gut</w:t>
      </w:r>
      <w:r w:rsidR="00055312" w:rsidRPr="00C80680">
        <w:t xml:space="preserve">. 2007;56(8):1066-1071. </w:t>
      </w:r>
      <w:proofErr w:type="spellStart"/>
      <w:r w:rsidR="00055312" w:rsidRPr="00C80680">
        <w:t>doi</w:t>
      </w:r>
      <w:proofErr w:type="spellEnd"/>
      <w:r w:rsidR="00055312" w:rsidRPr="00C80680">
        <w:t>: 10.1136/gut.2006.108811</w:t>
      </w:r>
    </w:p>
    <w:p w14:paraId="7EE9659F" w14:textId="77777777" w:rsidR="004F2EC0" w:rsidRPr="00C80680" w:rsidRDefault="004F2EC0" w:rsidP="00EB40FC"/>
    <w:p w14:paraId="55F40DEB" w14:textId="00BCA535" w:rsidR="00353EC7" w:rsidRPr="00C80680" w:rsidRDefault="00353EC7" w:rsidP="00353EC7">
      <w:pPr>
        <w:pStyle w:val="ListParagraph"/>
        <w:numPr>
          <w:ilvl w:val="0"/>
          <w:numId w:val="1"/>
        </w:numPr>
      </w:pPr>
      <w:proofErr w:type="spellStart"/>
      <w:r w:rsidRPr="00C80680">
        <w:t>Nater</w:t>
      </w:r>
      <w:proofErr w:type="spellEnd"/>
      <w:r w:rsidRPr="00C80680">
        <w:t xml:space="preserve"> UM, Wagner D, Solomon L, </w:t>
      </w:r>
      <w:r w:rsidR="001F655B" w:rsidRPr="00C80680">
        <w:t>et al.</w:t>
      </w:r>
      <w:r w:rsidRPr="00C80680">
        <w:t xml:space="preserve"> Coping styles in people with chronic fatigue syndrome identified from the general population of Wichita KS. </w:t>
      </w:r>
      <w:r w:rsidRPr="00C80680">
        <w:rPr>
          <w:i/>
        </w:rPr>
        <w:t>Journal of Psychosomatic Research</w:t>
      </w:r>
      <w:r w:rsidR="001F655B" w:rsidRPr="00C80680">
        <w:rPr>
          <w:i/>
        </w:rPr>
        <w:t>.</w:t>
      </w:r>
      <w:r w:rsidRPr="00C80680">
        <w:rPr>
          <w:i/>
        </w:rPr>
        <w:t xml:space="preserve"> </w:t>
      </w:r>
      <w:r w:rsidR="001F655B" w:rsidRPr="00C80680">
        <w:t>2006;</w:t>
      </w:r>
      <w:r w:rsidRPr="00C80680">
        <w:t xml:space="preserve">60(6):567-573. </w:t>
      </w:r>
      <w:proofErr w:type="spellStart"/>
      <w:r w:rsidRPr="00C80680">
        <w:t>doi</w:t>
      </w:r>
      <w:proofErr w:type="spellEnd"/>
      <w:r w:rsidRPr="00C80680">
        <w:t>: 10.1016/j.jpsychores.2006.04.001</w:t>
      </w:r>
    </w:p>
    <w:p w14:paraId="1CCB8643" w14:textId="77777777" w:rsidR="001F655B" w:rsidRPr="00C80680" w:rsidRDefault="001F655B" w:rsidP="001F655B">
      <w:pPr>
        <w:pStyle w:val="ListParagraph"/>
      </w:pPr>
    </w:p>
    <w:p w14:paraId="11FFC8EA" w14:textId="47827368" w:rsidR="001F655B" w:rsidRPr="00C80680" w:rsidRDefault="001F655B" w:rsidP="00353EC7">
      <w:pPr>
        <w:pStyle w:val="ListParagraph"/>
        <w:numPr>
          <w:ilvl w:val="0"/>
          <w:numId w:val="1"/>
        </w:numPr>
      </w:pPr>
      <w:r w:rsidRPr="00C80680">
        <w:t xml:space="preserve">Martin A, </w:t>
      </w:r>
      <w:proofErr w:type="spellStart"/>
      <w:r w:rsidRPr="00C80680">
        <w:t>Rief</w:t>
      </w:r>
      <w:proofErr w:type="spellEnd"/>
      <w:r w:rsidRPr="00C80680">
        <w:t xml:space="preserve"> W. Relevance of cognitive and behavioral factors in medically unexplained syndromes and somatoform disorders. </w:t>
      </w:r>
      <w:proofErr w:type="spellStart"/>
      <w:r w:rsidRPr="00C80680">
        <w:rPr>
          <w:i/>
        </w:rPr>
        <w:t>Psychiatr</w:t>
      </w:r>
      <w:proofErr w:type="spellEnd"/>
      <w:r w:rsidRPr="00C80680">
        <w:rPr>
          <w:i/>
        </w:rPr>
        <w:t xml:space="preserve"> Clin N Am</w:t>
      </w:r>
      <w:r w:rsidRPr="00C80680">
        <w:t xml:space="preserve">. 2011;34(3):565-578. </w:t>
      </w:r>
      <w:proofErr w:type="gramStart"/>
      <w:r w:rsidRPr="00C80680">
        <w:t>doi:10.1016/j.psc</w:t>
      </w:r>
      <w:proofErr w:type="gramEnd"/>
      <w:r w:rsidRPr="00C80680">
        <w:t>.2011.05.007</w:t>
      </w:r>
    </w:p>
    <w:p w14:paraId="6D7FEC5B" w14:textId="77777777" w:rsidR="00CB3CF6" w:rsidRPr="00C80680" w:rsidRDefault="00CB3CF6" w:rsidP="00CB3CF6">
      <w:pPr>
        <w:pStyle w:val="ListParagraph"/>
      </w:pPr>
    </w:p>
    <w:p w14:paraId="72923173" w14:textId="2EC0292C" w:rsidR="00CB3CF6" w:rsidRPr="00C80680" w:rsidRDefault="00CB3CF6" w:rsidP="00353EC7">
      <w:pPr>
        <w:pStyle w:val="ListParagraph"/>
        <w:numPr>
          <w:ilvl w:val="0"/>
          <w:numId w:val="1"/>
        </w:numPr>
      </w:pPr>
      <w:r w:rsidRPr="00C80680">
        <w:t xml:space="preserve">Skerrett TN, Moss-Morris R. Fatigue and social impairment in multiple sclerosis: The role of patients’ cognitive and behavioral responses to their symptoms. </w:t>
      </w:r>
      <w:r w:rsidRPr="00C80680">
        <w:rPr>
          <w:i/>
        </w:rPr>
        <w:t>Journal of Psychosomatic Research</w:t>
      </w:r>
      <w:r w:rsidRPr="00C80680">
        <w:t xml:space="preserve">. </w:t>
      </w:r>
      <w:proofErr w:type="gramStart"/>
      <w:r w:rsidRPr="00C80680">
        <w:t>2006;61:587</w:t>
      </w:r>
      <w:proofErr w:type="gramEnd"/>
      <w:r w:rsidRPr="00C80680">
        <w:t>-593.</w:t>
      </w:r>
    </w:p>
    <w:p w14:paraId="7CF13C4A" w14:textId="77777777" w:rsidR="00CB3CF6" w:rsidRPr="00C80680" w:rsidRDefault="00CB3CF6" w:rsidP="00CB3CF6">
      <w:pPr>
        <w:pStyle w:val="ListParagraph"/>
      </w:pPr>
    </w:p>
    <w:p w14:paraId="470B719D" w14:textId="77777777" w:rsidR="00CB3CF6" w:rsidRPr="00C80680" w:rsidRDefault="00CB3CF6" w:rsidP="00CB3CF6">
      <w:pPr>
        <w:pStyle w:val="ListParagraph"/>
        <w:numPr>
          <w:ilvl w:val="0"/>
          <w:numId w:val="1"/>
        </w:numPr>
      </w:pPr>
      <w:proofErr w:type="spellStart"/>
      <w:r w:rsidRPr="00C80680">
        <w:t>Kindermans</w:t>
      </w:r>
      <w:proofErr w:type="spellEnd"/>
      <w:r w:rsidRPr="00C80680">
        <w:t xml:space="preserve"> HPJ, </w:t>
      </w:r>
      <w:proofErr w:type="spellStart"/>
      <w:r w:rsidRPr="00C80680">
        <w:t>Roelofs</w:t>
      </w:r>
      <w:proofErr w:type="spellEnd"/>
      <w:r w:rsidRPr="00C80680">
        <w:t xml:space="preserve"> J, </w:t>
      </w:r>
      <w:proofErr w:type="spellStart"/>
      <w:r w:rsidRPr="00C80680">
        <w:t>Goossens</w:t>
      </w:r>
      <w:proofErr w:type="spellEnd"/>
      <w:r w:rsidRPr="00C80680">
        <w:t xml:space="preserve"> MEJB, </w:t>
      </w:r>
      <w:proofErr w:type="spellStart"/>
      <w:r w:rsidRPr="00C80680">
        <w:t>Huijnen</w:t>
      </w:r>
      <w:proofErr w:type="spellEnd"/>
      <w:r w:rsidRPr="00C80680">
        <w:t xml:space="preserve"> IPJ, </w:t>
      </w:r>
      <w:proofErr w:type="spellStart"/>
      <w:r w:rsidRPr="00C80680">
        <w:t>Verbunt</w:t>
      </w:r>
      <w:proofErr w:type="spellEnd"/>
      <w:r w:rsidRPr="00C80680">
        <w:t xml:space="preserve"> JA, </w:t>
      </w:r>
      <w:proofErr w:type="spellStart"/>
      <w:r w:rsidRPr="00C80680">
        <w:t>Vlaeyen</w:t>
      </w:r>
      <w:proofErr w:type="spellEnd"/>
      <w:r w:rsidRPr="00C80680">
        <w:t xml:space="preserve"> NWS. Activity patterns in chronic pain: Underlying dimensions and associations with disability and depressed mood. </w:t>
      </w:r>
      <w:r w:rsidRPr="00C80680">
        <w:rPr>
          <w:i/>
        </w:rPr>
        <w:t>The Journal of Pain</w:t>
      </w:r>
      <w:r w:rsidRPr="00C80680">
        <w:t xml:space="preserve">. 2011;12(10):1049-1058.  </w:t>
      </w:r>
    </w:p>
    <w:p w14:paraId="1D127691" w14:textId="77777777" w:rsidR="00CB3CF6" w:rsidRPr="00C80680" w:rsidRDefault="00CB3CF6" w:rsidP="00CB3CF6">
      <w:pPr>
        <w:pStyle w:val="ListParagraph"/>
      </w:pPr>
    </w:p>
    <w:p w14:paraId="1AFEE14A" w14:textId="097938D9" w:rsidR="00CB3CF6" w:rsidRPr="00C80680" w:rsidRDefault="00CB3CF6" w:rsidP="00CB3CF6">
      <w:pPr>
        <w:pStyle w:val="ListParagraph"/>
        <w:numPr>
          <w:ilvl w:val="0"/>
          <w:numId w:val="1"/>
        </w:numPr>
      </w:pPr>
      <w:r w:rsidRPr="00C80680">
        <w:t xml:space="preserve">Leventhal H, Meyer D, and </w:t>
      </w:r>
      <w:proofErr w:type="spellStart"/>
      <w:r w:rsidRPr="00C80680">
        <w:t>Nerenz</w:t>
      </w:r>
      <w:proofErr w:type="spellEnd"/>
      <w:r w:rsidRPr="00C80680">
        <w:t xml:space="preserve"> D. The </w:t>
      </w:r>
      <w:proofErr w:type="gramStart"/>
      <w:r w:rsidRPr="00C80680">
        <w:t>common sense</w:t>
      </w:r>
      <w:proofErr w:type="gramEnd"/>
      <w:r w:rsidRPr="00C80680">
        <w:t xml:space="preserve"> representation of illness danger. In</w:t>
      </w:r>
      <w:r w:rsidR="00ED294C" w:rsidRPr="00C80680">
        <w:t>:</w:t>
      </w:r>
      <w:r w:rsidRPr="00C80680">
        <w:t xml:space="preserve"> S.J. </w:t>
      </w:r>
      <w:proofErr w:type="spellStart"/>
      <w:r w:rsidRPr="00C80680">
        <w:t>Rachman</w:t>
      </w:r>
      <w:proofErr w:type="spellEnd"/>
      <w:r w:rsidRPr="00C80680">
        <w:t xml:space="preserve"> (Ed.), </w:t>
      </w:r>
      <w:r w:rsidRPr="00C80680">
        <w:rPr>
          <w:i/>
        </w:rPr>
        <w:t>Contributions to medical psychology</w:t>
      </w:r>
      <w:r w:rsidR="00ED294C" w:rsidRPr="00C80680">
        <w:rPr>
          <w:i/>
        </w:rPr>
        <w:t>.</w:t>
      </w:r>
      <w:r w:rsidRPr="00C80680">
        <w:t xml:space="preserve"> New York: Pergamon; 1980. </w:t>
      </w:r>
      <w:r w:rsidR="00ED294C" w:rsidRPr="00C80680">
        <w:t>pp.7-30.</w:t>
      </w:r>
    </w:p>
    <w:p w14:paraId="39C85125" w14:textId="77777777" w:rsidR="00CB3CF6" w:rsidRPr="00C80680" w:rsidRDefault="00CB3CF6" w:rsidP="00EB40FC"/>
    <w:p w14:paraId="6A8ECAB6" w14:textId="2415B14C" w:rsidR="00CB3CF6" w:rsidRPr="00C80680" w:rsidRDefault="00CB3CF6" w:rsidP="00CB3CF6">
      <w:pPr>
        <w:pStyle w:val="ListParagraph"/>
        <w:numPr>
          <w:ilvl w:val="0"/>
          <w:numId w:val="1"/>
        </w:numPr>
      </w:pPr>
      <w:r w:rsidRPr="00C80680">
        <w:t>Hagger M, and Orbell S</w:t>
      </w:r>
      <w:r w:rsidR="002E5E89" w:rsidRPr="00C80680">
        <w:t>.</w:t>
      </w:r>
      <w:r w:rsidRPr="00C80680">
        <w:t xml:space="preserve"> A meta-analytic review of the common-sense model of illness representations</w:t>
      </w:r>
      <w:r w:rsidRPr="00C80680">
        <w:rPr>
          <w:i/>
        </w:rPr>
        <w:t>.  Psychology and Health</w:t>
      </w:r>
      <w:r w:rsidR="002E5E89" w:rsidRPr="00C80680">
        <w:rPr>
          <w:i/>
        </w:rPr>
        <w:t>.</w:t>
      </w:r>
      <w:r w:rsidRPr="00C80680">
        <w:rPr>
          <w:i/>
        </w:rPr>
        <w:t xml:space="preserve"> </w:t>
      </w:r>
      <w:r w:rsidR="002E5E89" w:rsidRPr="00C80680">
        <w:t>2003;</w:t>
      </w:r>
      <w:r w:rsidRPr="00C80680">
        <w:t xml:space="preserve">18(2):141-184. </w:t>
      </w:r>
      <w:proofErr w:type="spellStart"/>
      <w:r w:rsidRPr="00C80680">
        <w:t>doi</w:t>
      </w:r>
      <w:proofErr w:type="spellEnd"/>
      <w:r w:rsidRPr="00C80680">
        <w:t>: 10.1080/088704403100081321</w:t>
      </w:r>
    </w:p>
    <w:p w14:paraId="6F3F7431" w14:textId="77777777" w:rsidR="00C949F8" w:rsidRPr="00C80680" w:rsidRDefault="00C949F8" w:rsidP="00C949F8"/>
    <w:p w14:paraId="7744EB58" w14:textId="16B2529C" w:rsidR="00C949F8" w:rsidRPr="00C80680" w:rsidRDefault="00C949F8" w:rsidP="00C949F8">
      <w:pPr>
        <w:pStyle w:val="ListParagraph"/>
        <w:numPr>
          <w:ilvl w:val="0"/>
          <w:numId w:val="1"/>
        </w:numPr>
      </w:pPr>
      <w:r w:rsidRPr="00C80680">
        <w:t xml:space="preserve">Moss-Morris R, Petrie KJ, and Weinman J. Functioning in chronic fatigue syndrome: Do illness perceptions play a regulatory role? </w:t>
      </w:r>
      <w:r w:rsidRPr="00C80680">
        <w:rPr>
          <w:i/>
        </w:rPr>
        <w:t xml:space="preserve">British Journal of Health Psychology. </w:t>
      </w:r>
      <w:r w:rsidRPr="00C80680">
        <w:t xml:space="preserve">1996;1(1):15-25. </w:t>
      </w:r>
      <w:proofErr w:type="spellStart"/>
      <w:r w:rsidRPr="00C80680">
        <w:t>doi</w:t>
      </w:r>
      <w:proofErr w:type="spellEnd"/>
      <w:r w:rsidRPr="00C80680">
        <w:t>: 10.1111/j.2044-</w:t>
      </w:r>
      <w:proofErr w:type="gramStart"/>
      <w:r w:rsidRPr="00C80680">
        <w:t>8287.1996.tb</w:t>
      </w:r>
      <w:proofErr w:type="gramEnd"/>
      <w:r w:rsidRPr="00C80680">
        <w:t>00488.x</w:t>
      </w:r>
    </w:p>
    <w:p w14:paraId="39E516EF" w14:textId="77777777" w:rsidR="00CB3CF6" w:rsidRPr="00C80680" w:rsidRDefault="00CB3CF6" w:rsidP="00EB40FC"/>
    <w:p w14:paraId="087BDEE7" w14:textId="2CA4F11F" w:rsidR="00C949F8" w:rsidRPr="00C80680" w:rsidRDefault="00C949F8" w:rsidP="00C949F8">
      <w:pPr>
        <w:pStyle w:val="ListParagraph"/>
        <w:numPr>
          <w:ilvl w:val="0"/>
          <w:numId w:val="1"/>
        </w:numPr>
      </w:pPr>
      <w:r w:rsidRPr="00C80680">
        <w:t xml:space="preserve">Rutter CL, and Rutter DR. Longitudinal analysis of the illness representation model in patients with irritable bowel syndrome (IBS). </w:t>
      </w:r>
      <w:r w:rsidRPr="00C80680">
        <w:rPr>
          <w:i/>
        </w:rPr>
        <w:t xml:space="preserve">Journal of Health Psychology. </w:t>
      </w:r>
      <w:r w:rsidRPr="00C80680">
        <w:t xml:space="preserve">2007;12(1):141-148. </w:t>
      </w:r>
      <w:proofErr w:type="spellStart"/>
      <w:r w:rsidRPr="00C80680">
        <w:t>doi</w:t>
      </w:r>
      <w:proofErr w:type="spellEnd"/>
      <w:r w:rsidRPr="00C80680">
        <w:t>: 10.1177/1359105307071748</w:t>
      </w:r>
    </w:p>
    <w:p w14:paraId="1322EF9B" w14:textId="77777777" w:rsidR="00C949F8" w:rsidRPr="00C80680" w:rsidRDefault="00C949F8" w:rsidP="00C949F8">
      <w:pPr>
        <w:pStyle w:val="ListParagraph"/>
      </w:pPr>
    </w:p>
    <w:p w14:paraId="2450B72B" w14:textId="2EB39084" w:rsidR="00C949F8" w:rsidRPr="00C80680" w:rsidRDefault="00C949F8" w:rsidP="00C949F8">
      <w:pPr>
        <w:pStyle w:val="ListParagraph"/>
        <w:numPr>
          <w:ilvl w:val="0"/>
          <w:numId w:val="1"/>
        </w:numPr>
      </w:pPr>
      <w:r w:rsidRPr="00C80680">
        <w:lastRenderedPageBreak/>
        <w:t xml:space="preserve">Van Der Have M, </w:t>
      </w:r>
      <w:proofErr w:type="spellStart"/>
      <w:r w:rsidRPr="00C80680">
        <w:t>Brakenhoff</w:t>
      </w:r>
      <w:proofErr w:type="spellEnd"/>
      <w:r w:rsidRPr="00C80680">
        <w:t xml:space="preserve"> L, Van </w:t>
      </w:r>
      <w:proofErr w:type="spellStart"/>
      <w:r w:rsidRPr="00C80680">
        <w:t>Erp</w:t>
      </w:r>
      <w:proofErr w:type="spellEnd"/>
      <w:r w:rsidRPr="00C80680">
        <w:t xml:space="preserve"> S, et al. Back/joint pain, illness perceptions and coping are important predictors of quality of life and work productivity in patients with inflammatory bowel disease: A 12-month longitudinal study</w:t>
      </w:r>
      <w:r w:rsidRPr="00C80680">
        <w:rPr>
          <w:i/>
        </w:rPr>
        <w:t xml:space="preserve">.  Journal of Crohn’s and Colitis. </w:t>
      </w:r>
      <w:r w:rsidRPr="00C80680">
        <w:t xml:space="preserve">2015;9(3):276-283. </w:t>
      </w:r>
      <w:proofErr w:type="spellStart"/>
      <w:r w:rsidRPr="00C80680">
        <w:t>doi</w:t>
      </w:r>
      <w:proofErr w:type="spellEnd"/>
      <w:r w:rsidRPr="00C80680">
        <w:t>: 10.1093/</w:t>
      </w:r>
      <w:proofErr w:type="spellStart"/>
      <w:r w:rsidRPr="00C80680">
        <w:t>ecco-jcc</w:t>
      </w:r>
      <w:proofErr w:type="spellEnd"/>
      <w:r w:rsidRPr="00C80680">
        <w:t>/jju025</w:t>
      </w:r>
    </w:p>
    <w:p w14:paraId="6DEEFA61" w14:textId="77777777" w:rsidR="00C949F8" w:rsidRPr="00C80680" w:rsidRDefault="00C949F8" w:rsidP="00EB40FC"/>
    <w:p w14:paraId="5F36E028" w14:textId="3CE8E445" w:rsidR="00D52889" w:rsidRPr="00C80680" w:rsidRDefault="00D52889" w:rsidP="00D52889">
      <w:pPr>
        <w:pStyle w:val="ListParagraph"/>
        <w:numPr>
          <w:ilvl w:val="0"/>
          <w:numId w:val="1"/>
        </w:numPr>
      </w:pPr>
      <w:r w:rsidRPr="00C80680">
        <w:t>McAndrew LM, Crede M, Maestro K, Slotkin S, Kimber J, and Phillips LA. Using the common-sense model to understand health outcomes for medically unexplained symptoms: a meta-analysis</w:t>
      </w:r>
      <w:r w:rsidRPr="00C80680">
        <w:rPr>
          <w:i/>
        </w:rPr>
        <w:t>. Health Psychology Review</w:t>
      </w:r>
      <w:r w:rsidRPr="00C80680">
        <w:t xml:space="preserve"> 2018. </w:t>
      </w:r>
      <w:proofErr w:type="spellStart"/>
      <w:r w:rsidRPr="00C80680">
        <w:t>doi</w:t>
      </w:r>
      <w:proofErr w:type="spellEnd"/>
      <w:r w:rsidRPr="00C80680">
        <w:t>: 10.1080/17437199.2018.1521730</w:t>
      </w:r>
    </w:p>
    <w:p w14:paraId="24D50B07" w14:textId="77777777" w:rsidR="00D52889" w:rsidRPr="00C80680" w:rsidRDefault="00D52889" w:rsidP="00EB40FC"/>
    <w:p w14:paraId="29DBDA2D" w14:textId="57F93135" w:rsidR="00DC61D1" w:rsidRPr="00C80680" w:rsidRDefault="00DC61D1" w:rsidP="00DC61D1">
      <w:pPr>
        <w:pStyle w:val="ListParagraph"/>
        <w:numPr>
          <w:ilvl w:val="0"/>
          <w:numId w:val="1"/>
        </w:numPr>
      </w:pPr>
      <w:proofErr w:type="spellStart"/>
      <w:r w:rsidRPr="00C80680">
        <w:t>Dorrian</w:t>
      </w:r>
      <w:proofErr w:type="spellEnd"/>
      <w:r w:rsidRPr="00C80680">
        <w:t xml:space="preserve"> A, Dempster M, and Adair P. Adjustment to Inflammatory Bowel Disease: The relative influence of illness perceptions and coping. </w:t>
      </w:r>
      <w:r w:rsidRPr="00C80680">
        <w:rPr>
          <w:i/>
        </w:rPr>
        <w:t xml:space="preserve">Inflammatory Bowel Diseases. </w:t>
      </w:r>
      <w:r w:rsidRPr="00C80680">
        <w:t xml:space="preserve">2008;15(1):47-55. </w:t>
      </w:r>
      <w:proofErr w:type="spellStart"/>
      <w:r w:rsidRPr="00C80680">
        <w:t>doi</w:t>
      </w:r>
      <w:proofErr w:type="spellEnd"/>
      <w:r w:rsidRPr="00C80680">
        <w:t>: 10.1002/ibd.20583</w:t>
      </w:r>
    </w:p>
    <w:p w14:paraId="25934756" w14:textId="77777777" w:rsidR="00DC61D1" w:rsidRPr="00C80680" w:rsidRDefault="00DC61D1" w:rsidP="00DC61D1">
      <w:pPr>
        <w:pStyle w:val="ListParagraph"/>
      </w:pPr>
    </w:p>
    <w:p w14:paraId="24C6DF5F" w14:textId="422EEECF" w:rsidR="004E7A6F" w:rsidRPr="00C80680" w:rsidRDefault="004E7A6F" w:rsidP="004E7A6F">
      <w:pPr>
        <w:pStyle w:val="ListParagraph"/>
        <w:numPr>
          <w:ilvl w:val="0"/>
          <w:numId w:val="1"/>
        </w:numPr>
      </w:pPr>
      <w:proofErr w:type="spellStart"/>
      <w:r w:rsidRPr="00C80680">
        <w:t>Heijmans</w:t>
      </w:r>
      <w:proofErr w:type="spellEnd"/>
      <w:r w:rsidRPr="00C80680">
        <w:t xml:space="preserve"> M. Coping and adaptive outcome in chronic fatigue syndrome: Importance of illness cognitions. </w:t>
      </w:r>
      <w:r w:rsidRPr="00C80680">
        <w:rPr>
          <w:i/>
        </w:rPr>
        <w:t xml:space="preserve">Journal of Psychosomatic Research </w:t>
      </w:r>
      <w:r w:rsidRPr="00C80680">
        <w:t xml:space="preserve">1998;45(1):39-51. </w:t>
      </w:r>
      <w:proofErr w:type="spellStart"/>
      <w:r w:rsidRPr="00C80680">
        <w:t>doi</w:t>
      </w:r>
      <w:proofErr w:type="spellEnd"/>
      <w:r w:rsidRPr="00C80680">
        <w:t>: 10.1016/S0022-3999(97)00265-1</w:t>
      </w:r>
    </w:p>
    <w:p w14:paraId="7C740E7C" w14:textId="77777777" w:rsidR="004E7A6F" w:rsidRPr="00C80680" w:rsidRDefault="004E7A6F" w:rsidP="004E7A6F">
      <w:pPr>
        <w:pStyle w:val="ListParagraph"/>
      </w:pPr>
    </w:p>
    <w:p w14:paraId="0B5C961F" w14:textId="755962D1" w:rsidR="004E7A6F" w:rsidRPr="00C80680" w:rsidRDefault="004E7A6F" w:rsidP="004E7A6F">
      <w:pPr>
        <w:pStyle w:val="ListParagraph"/>
        <w:numPr>
          <w:ilvl w:val="0"/>
          <w:numId w:val="1"/>
        </w:numPr>
      </w:pPr>
      <w:proofErr w:type="spellStart"/>
      <w:r w:rsidRPr="00C80680">
        <w:t>Heijmans</w:t>
      </w:r>
      <w:proofErr w:type="spellEnd"/>
      <w:r w:rsidRPr="00C80680">
        <w:t xml:space="preserve"> M. The role of patients’ illness representations in coping and functioning with Addison’s disease. </w:t>
      </w:r>
      <w:r w:rsidRPr="00C80680">
        <w:rPr>
          <w:i/>
        </w:rPr>
        <w:t xml:space="preserve">British Journal of Health Psychology. </w:t>
      </w:r>
      <w:r w:rsidRPr="00C80680">
        <w:t xml:space="preserve">1999;4(2):137-149. </w:t>
      </w:r>
      <w:proofErr w:type="spellStart"/>
      <w:r w:rsidRPr="00C80680">
        <w:t>doi</w:t>
      </w:r>
      <w:proofErr w:type="spellEnd"/>
      <w:r w:rsidRPr="00C80680">
        <w:t>: 10.1348/135910799168533</w:t>
      </w:r>
    </w:p>
    <w:p w14:paraId="72500BD9" w14:textId="77777777" w:rsidR="004E7A6F" w:rsidRPr="00C80680" w:rsidRDefault="004E7A6F" w:rsidP="004E7A6F">
      <w:pPr>
        <w:pStyle w:val="ListParagraph"/>
      </w:pPr>
    </w:p>
    <w:p w14:paraId="1B3D54C6" w14:textId="149E60C2" w:rsidR="004E7A6F" w:rsidRPr="00C80680" w:rsidRDefault="004E7A6F" w:rsidP="004E7A6F">
      <w:pPr>
        <w:pStyle w:val="ListParagraph"/>
        <w:numPr>
          <w:ilvl w:val="0"/>
          <w:numId w:val="1"/>
        </w:numPr>
      </w:pPr>
      <w:r w:rsidRPr="00C80680">
        <w:t xml:space="preserve">Knoop H, </w:t>
      </w:r>
      <w:proofErr w:type="spellStart"/>
      <w:r w:rsidRPr="00C80680">
        <w:t>Prins</w:t>
      </w:r>
      <w:proofErr w:type="spellEnd"/>
      <w:r w:rsidRPr="00C80680">
        <w:t xml:space="preserve"> JB, Moss-Morris R, and </w:t>
      </w:r>
      <w:proofErr w:type="spellStart"/>
      <w:r w:rsidRPr="00C80680">
        <w:t>Bleijenberg</w:t>
      </w:r>
      <w:proofErr w:type="spellEnd"/>
      <w:r w:rsidRPr="00C80680">
        <w:t xml:space="preserve"> G. The central role of cognitive processes in the perpetuation of chronic fatigue syndrome. </w:t>
      </w:r>
      <w:r w:rsidRPr="00C80680">
        <w:rPr>
          <w:i/>
        </w:rPr>
        <w:t xml:space="preserve">Journal of Psychosomatic Research. </w:t>
      </w:r>
      <w:r w:rsidRPr="00C80680">
        <w:t xml:space="preserve">2010;68(5):489-495. </w:t>
      </w:r>
      <w:proofErr w:type="spellStart"/>
      <w:r w:rsidRPr="00C80680">
        <w:t>doi</w:t>
      </w:r>
      <w:proofErr w:type="spellEnd"/>
      <w:r w:rsidRPr="00C80680">
        <w:t>: 10.1016/j.jpsychores.2010.01.022</w:t>
      </w:r>
    </w:p>
    <w:p w14:paraId="65976D48" w14:textId="77777777" w:rsidR="004E7A6F" w:rsidRPr="00C80680" w:rsidRDefault="004E7A6F" w:rsidP="004E7A6F">
      <w:pPr>
        <w:pStyle w:val="ListParagraph"/>
      </w:pPr>
    </w:p>
    <w:p w14:paraId="1F93EE92" w14:textId="2F68E149" w:rsidR="00DC61D1" w:rsidRPr="00C80680" w:rsidRDefault="00DC61D1" w:rsidP="00DC61D1">
      <w:pPr>
        <w:pStyle w:val="ListParagraph"/>
        <w:numPr>
          <w:ilvl w:val="0"/>
          <w:numId w:val="1"/>
        </w:numPr>
      </w:pPr>
      <w:r w:rsidRPr="00C80680">
        <w:t xml:space="preserve">Rutter CL, and Rutter DR. Illness representation, coping and outcome in irritable bowel syndrome (IBS). </w:t>
      </w:r>
      <w:r w:rsidRPr="00C80680">
        <w:rPr>
          <w:i/>
        </w:rPr>
        <w:t xml:space="preserve">British Journal of Health Psychology. </w:t>
      </w:r>
      <w:r w:rsidRPr="00C80680">
        <w:t xml:space="preserve">2002;7(4):377-391. </w:t>
      </w:r>
      <w:proofErr w:type="spellStart"/>
      <w:r w:rsidRPr="00C80680">
        <w:t>doi</w:t>
      </w:r>
      <w:proofErr w:type="spellEnd"/>
      <w:r w:rsidRPr="00C80680">
        <w:t>: 10.1348/135910702320645372</w:t>
      </w:r>
    </w:p>
    <w:p w14:paraId="2F167E03" w14:textId="77777777" w:rsidR="00DC61D1" w:rsidRPr="00C80680" w:rsidRDefault="00DC61D1" w:rsidP="00EB40FC"/>
    <w:p w14:paraId="5AA8CE28" w14:textId="3DE77282" w:rsidR="004E7A6F" w:rsidRPr="00C80680" w:rsidRDefault="004E7A6F" w:rsidP="004E7A6F">
      <w:pPr>
        <w:pStyle w:val="ListParagraph"/>
        <w:numPr>
          <w:ilvl w:val="0"/>
          <w:numId w:val="1"/>
        </w:numPr>
      </w:pPr>
      <w:proofErr w:type="spellStart"/>
      <w:r w:rsidRPr="00C80680">
        <w:t>Stanculete</w:t>
      </w:r>
      <w:proofErr w:type="spellEnd"/>
      <w:r w:rsidRPr="00C80680">
        <w:t xml:space="preserve"> MF, </w:t>
      </w:r>
      <w:proofErr w:type="spellStart"/>
      <w:r w:rsidRPr="00C80680">
        <w:t>Matu</w:t>
      </w:r>
      <w:proofErr w:type="spellEnd"/>
      <w:r w:rsidRPr="00C80680">
        <w:t xml:space="preserve"> S, </w:t>
      </w:r>
      <w:proofErr w:type="spellStart"/>
      <w:r w:rsidRPr="00C80680">
        <w:t>Pojoga</w:t>
      </w:r>
      <w:proofErr w:type="spellEnd"/>
      <w:r w:rsidRPr="00C80680">
        <w:t xml:space="preserve"> C, and </w:t>
      </w:r>
      <w:proofErr w:type="spellStart"/>
      <w:r w:rsidRPr="00C80680">
        <w:t>Dumitrascu</w:t>
      </w:r>
      <w:proofErr w:type="spellEnd"/>
      <w:r w:rsidRPr="00C80680">
        <w:t xml:space="preserve"> DL. Coping strategies and irrational beliefs as mediators of the health-related quality of life impairments in irritable bowel syndrome. </w:t>
      </w:r>
      <w:r w:rsidRPr="00C80680">
        <w:rPr>
          <w:i/>
        </w:rPr>
        <w:t xml:space="preserve">Journal of Gastrointestinal and Liver Diseases. </w:t>
      </w:r>
      <w:r w:rsidRPr="00C80680">
        <w:t xml:space="preserve">2015;24(2):159-164. </w:t>
      </w:r>
      <w:proofErr w:type="spellStart"/>
      <w:r w:rsidRPr="00C80680">
        <w:t>doi</w:t>
      </w:r>
      <w:proofErr w:type="spellEnd"/>
      <w:r w:rsidRPr="00C80680">
        <w:t>: 10.15403/jgld.2014.1121.242.strt</w:t>
      </w:r>
    </w:p>
    <w:p w14:paraId="0B6B5DF0" w14:textId="77777777" w:rsidR="00DE666F" w:rsidRPr="00C80680" w:rsidRDefault="00DE666F" w:rsidP="007C4DC5">
      <w:bookmarkStart w:id="6" w:name="_Hlk16839264"/>
    </w:p>
    <w:p w14:paraId="689E8066" w14:textId="79330132" w:rsidR="00DF5FA6" w:rsidRPr="00C80680" w:rsidRDefault="00DF5FA6" w:rsidP="00B966E2">
      <w:pPr>
        <w:pStyle w:val="ListParagraph"/>
        <w:numPr>
          <w:ilvl w:val="0"/>
          <w:numId w:val="1"/>
        </w:numPr>
      </w:pPr>
      <w:proofErr w:type="spellStart"/>
      <w:r w:rsidRPr="00C80680">
        <w:t>Dursa</w:t>
      </w:r>
      <w:proofErr w:type="spellEnd"/>
      <w:r w:rsidRPr="00C80680">
        <w:t xml:space="preserve"> E, Barth S, Porter B, Schneiderman A. Gulf War Illness in the 1991 Gulf war and Gulf era veteran population: An application of the centers for disease control and prevention and Kansas case definitions to historical data. </w:t>
      </w:r>
      <w:r w:rsidRPr="00C80680">
        <w:rPr>
          <w:i/>
        </w:rPr>
        <w:t>Journal of Military and Veterans Health</w:t>
      </w:r>
      <w:r w:rsidRPr="00C80680">
        <w:t>. 2018;26(2):43-50.</w:t>
      </w:r>
    </w:p>
    <w:p w14:paraId="4CEE5318" w14:textId="77777777" w:rsidR="00DF5FA6" w:rsidRPr="00C80680" w:rsidRDefault="00DF5FA6" w:rsidP="00DF5FA6">
      <w:pPr>
        <w:pStyle w:val="ListParagraph"/>
      </w:pPr>
    </w:p>
    <w:p w14:paraId="23B0ABE3" w14:textId="351A4350" w:rsidR="00DF5FA6" w:rsidRPr="007C4DC5" w:rsidRDefault="007C4DC5" w:rsidP="007C4DC5">
      <w:pPr>
        <w:pStyle w:val="ListParagraph"/>
        <w:numPr>
          <w:ilvl w:val="0"/>
          <w:numId w:val="1"/>
        </w:numPr>
      </w:pPr>
      <w:proofErr w:type="spellStart"/>
      <w:r w:rsidRPr="00C80680">
        <w:rPr>
          <w:sz w:val="22"/>
          <w:szCs w:val="22"/>
        </w:rPr>
        <w:t>Üstün</w:t>
      </w:r>
      <w:proofErr w:type="spellEnd"/>
      <w:r w:rsidRPr="00C80680">
        <w:rPr>
          <w:sz w:val="22"/>
          <w:szCs w:val="22"/>
        </w:rPr>
        <w:t xml:space="preserve"> TB, </w:t>
      </w:r>
      <w:proofErr w:type="spellStart"/>
      <w:r w:rsidRPr="00C80680">
        <w:rPr>
          <w:sz w:val="22"/>
          <w:szCs w:val="22"/>
        </w:rPr>
        <w:t>Kostanjsek</w:t>
      </w:r>
      <w:proofErr w:type="spellEnd"/>
      <w:r w:rsidRPr="00C80680">
        <w:rPr>
          <w:sz w:val="22"/>
          <w:szCs w:val="22"/>
        </w:rPr>
        <w:t xml:space="preserve"> N, </w:t>
      </w:r>
      <w:proofErr w:type="spellStart"/>
      <w:r w:rsidRPr="00C80680">
        <w:rPr>
          <w:sz w:val="22"/>
          <w:szCs w:val="22"/>
        </w:rPr>
        <w:t>Chatterji</w:t>
      </w:r>
      <w:proofErr w:type="spellEnd"/>
      <w:r w:rsidRPr="00C80680">
        <w:rPr>
          <w:sz w:val="22"/>
          <w:szCs w:val="22"/>
        </w:rPr>
        <w:t xml:space="preserve"> S, and Rehm J (2010) </w:t>
      </w:r>
      <w:r w:rsidRPr="00C80680">
        <w:rPr>
          <w:i/>
          <w:iCs/>
          <w:sz w:val="22"/>
          <w:szCs w:val="22"/>
        </w:rPr>
        <w:t xml:space="preserve">Measuring health and disability: Manual for WHO disability assessment schedule WHODAS 2.0. </w:t>
      </w:r>
      <w:r w:rsidRPr="00C80680">
        <w:rPr>
          <w:sz w:val="22"/>
          <w:szCs w:val="22"/>
        </w:rPr>
        <w:t>World Health Organization.</w:t>
      </w:r>
    </w:p>
    <w:p w14:paraId="20301DD9" w14:textId="77777777" w:rsidR="00B966E2" w:rsidRPr="00C80680" w:rsidRDefault="00B966E2" w:rsidP="00B966E2">
      <w:pPr>
        <w:pStyle w:val="ListParagraph"/>
      </w:pPr>
    </w:p>
    <w:p w14:paraId="4F984C8A" w14:textId="111044DA" w:rsidR="00DF5FA6" w:rsidRPr="00C80680" w:rsidRDefault="00DF5FA6" w:rsidP="00B966E2">
      <w:pPr>
        <w:pStyle w:val="ListParagraph"/>
        <w:numPr>
          <w:ilvl w:val="0"/>
          <w:numId w:val="1"/>
        </w:numPr>
      </w:pPr>
      <w:bookmarkStart w:id="7" w:name="_Hlk16605968"/>
      <w:r w:rsidRPr="00C80680">
        <w:t xml:space="preserve">Steele L. Prevalence and patterns of Gulf War Illness in Kansas veterans: Association of symptoms with characteristics of person, place, and time of military service. </w:t>
      </w:r>
      <w:r w:rsidRPr="00C80680">
        <w:rPr>
          <w:i/>
        </w:rPr>
        <w:t>American Journal of Epidemiology</w:t>
      </w:r>
      <w:r w:rsidRPr="00C80680">
        <w:t>. 2000;152(10):992-1002.</w:t>
      </w:r>
    </w:p>
    <w:p w14:paraId="20BD373B" w14:textId="77777777" w:rsidR="00DF5FA6" w:rsidRPr="00C80680" w:rsidRDefault="00DF5FA6" w:rsidP="00DF5FA6">
      <w:pPr>
        <w:pStyle w:val="ListParagraph"/>
      </w:pPr>
    </w:p>
    <w:p w14:paraId="1B4AD091" w14:textId="49C2C1F9" w:rsidR="00B966E2" w:rsidRPr="00C80680" w:rsidRDefault="00B966E2" w:rsidP="00B966E2">
      <w:pPr>
        <w:pStyle w:val="ListParagraph"/>
        <w:numPr>
          <w:ilvl w:val="0"/>
          <w:numId w:val="1"/>
        </w:numPr>
      </w:pPr>
      <w:r w:rsidRPr="00C80680">
        <w:lastRenderedPageBreak/>
        <w:t xml:space="preserve">Moss-Morris R, Weinman J, Petrie KJ, Horne R, Cameron LD, and Buick D. The revised illness perception questionnaire (IPQ-R). </w:t>
      </w:r>
      <w:r w:rsidRPr="00C80680">
        <w:rPr>
          <w:i/>
        </w:rPr>
        <w:t>Psychology and Health</w:t>
      </w:r>
      <w:r w:rsidRPr="00C80680">
        <w:t xml:space="preserve">. 2002;17(1):1-16. </w:t>
      </w:r>
      <w:proofErr w:type="spellStart"/>
      <w:r w:rsidRPr="00C80680">
        <w:t>doi</w:t>
      </w:r>
      <w:proofErr w:type="spellEnd"/>
      <w:r w:rsidRPr="00C80680">
        <w:t>: 10.1080/08870440290001494</w:t>
      </w:r>
    </w:p>
    <w:p w14:paraId="69076D4C" w14:textId="77777777" w:rsidR="00B966E2" w:rsidRPr="00C80680" w:rsidRDefault="00B966E2" w:rsidP="00B966E2">
      <w:pPr>
        <w:pStyle w:val="ListParagraph"/>
      </w:pPr>
    </w:p>
    <w:p w14:paraId="4125D723" w14:textId="07175D24" w:rsidR="00B966E2" w:rsidRPr="00C80680" w:rsidRDefault="00B966E2" w:rsidP="00B966E2">
      <w:pPr>
        <w:pStyle w:val="ListParagraph"/>
        <w:numPr>
          <w:ilvl w:val="0"/>
          <w:numId w:val="1"/>
        </w:numPr>
      </w:pPr>
      <w:r w:rsidRPr="00C80680">
        <w:t>Hayes AF</w:t>
      </w:r>
      <w:r w:rsidR="00ED294C" w:rsidRPr="00C80680">
        <w:t>.</w:t>
      </w:r>
      <w:r w:rsidRPr="00C80680">
        <w:t xml:space="preserve"> </w:t>
      </w:r>
      <w:r w:rsidRPr="00C80680">
        <w:rPr>
          <w:i/>
        </w:rPr>
        <w:t>Introduction to mediation, moderation, and conditional process analysis: A regression-based approach.</w:t>
      </w:r>
      <w:r w:rsidRPr="00C80680">
        <w:t xml:space="preserve"> Kenny, D.A., &amp; Little, T.D. (Eds.). New York, NY: The Guilford Press</w:t>
      </w:r>
      <w:r w:rsidR="00ED294C" w:rsidRPr="00C80680">
        <w:t>; 2018.</w:t>
      </w:r>
    </w:p>
    <w:p w14:paraId="25E84408" w14:textId="77777777" w:rsidR="00B966E2" w:rsidRPr="00C80680" w:rsidRDefault="00B966E2" w:rsidP="00B966E2">
      <w:pPr>
        <w:pStyle w:val="ListParagraph"/>
      </w:pPr>
    </w:p>
    <w:p w14:paraId="4B2EF6C6" w14:textId="44D4EF29" w:rsidR="00B966E2" w:rsidRPr="00C80680" w:rsidRDefault="00B966E2" w:rsidP="00B966E2">
      <w:pPr>
        <w:pStyle w:val="ListParagraph"/>
        <w:numPr>
          <w:ilvl w:val="0"/>
          <w:numId w:val="1"/>
        </w:numPr>
      </w:pPr>
      <w:r w:rsidRPr="00C80680">
        <w:t>Hayes AF</w:t>
      </w:r>
      <w:r w:rsidR="00ED294C" w:rsidRPr="00C80680">
        <w:t>.</w:t>
      </w:r>
      <w:r w:rsidRPr="00C80680">
        <w:t xml:space="preserve"> PROCESS: A versatile computational tool for observed variable mediation, moderation, and conditional process modeling. [White paper]. </w:t>
      </w:r>
      <w:r w:rsidR="00ED294C" w:rsidRPr="00C80680">
        <w:t xml:space="preserve">2012. </w:t>
      </w:r>
      <w:r w:rsidRPr="00C80680">
        <w:t>Retrieved from http://www.afhayes.com/public/process2012.pdf</w:t>
      </w:r>
    </w:p>
    <w:p w14:paraId="37E7C2D3" w14:textId="77777777" w:rsidR="002F7DB8" w:rsidRPr="00C80680" w:rsidRDefault="002F7DB8" w:rsidP="002F7DB8">
      <w:pPr>
        <w:pStyle w:val="ListParagraph"/>
      </w:pPr>
    </w:p>
    <w:p w14:paraId="416BD2AC" w14:textId="77777777" w:rsidR="001C5E39" w:rsidRPr="00C80680" w:rsidRDefault="00851D2F" w:rsidP="007C3EE7">
      <w:pPr>
        <w:pStyle w:val="ListParagraph"/>
        <w:numPr>
          <w:ilvl w:val="0"/>
          <w:numId w:val="1"/>
        </w:numPr>
      </w:pPr>
      <w:r w:rsidRPr="00C80680">
        <w:t xml:space="preserve">Deale A, Chalder T, and </w:t>
      </w:r>
      <w:proofErr w:type="spellStart"/>
      <w:r w:rsidRPr="00C80680">
        <w:t>Wessely</w:t>
      </w:r>
      <w:proofErr w:type="spellEnd"/>
      <w:r w:rsidRPr="00C80680">
        <w:t xml:space="preserve"> S. Illness beliefs and treatment outcome in chronic fatigue syndrome. </w:t>
      </w:r>
      <w:r w:rsidRPr="00C80680">
        <w:rPr>
          <w:i/>
        </w:rPr>
        <w:t>Journal of Psychosomatic Research.</w:t>
      </w:r>
      <w:r w:rsidRPr="00C80680">
        <w:t xml:space="preserve"> 1998;45(1):77-83. </w:t>
      </w:r>
      <w:proofErr w:type="spellStart"/>
      <w:r w:rsidRPr="00C80680">
        <w:t>doi</w:t>
      </w:r>
      <w:proofErr w:type="spellEnd"/>
      <w:r w:rsidRPr="00C80680">
        <w:t>: 10.1016/S0022-3999(98)00021-X</w:t>
      </w:r>
    </w:p>
    <w:p w14:paraId="5AFA93A8" w14:textId="77777777" w:rsidR="001C5E39" w:rsidRPr="00C80680" w:rsidRDefault="001C5E39" w:rsidP="001C5E39">
      <w:pPr>
        <w:pStyle w:val="ListParagraph"/>
      </w:pPr>
    </w:p>
    <w:p w14:paraId="78BCB91C" w14:textId="4B952F1A" w:rsidR="001352C4" w:rsidRDefault="008646C6" w:rsidP="007C3EE7">
      <w:pPr>
        <w:pStyle w:val="ListParagraph"/>
        <w:numPr>
          <w:ilvl w:val="0"/>
          <w:numId w:val="1"/>
        </w:numPr>
      </w:pPr>
      <w:proofErr w:type="spellStart"/>
      <w:r w:rsidRPr="00C80680">
        <w:t>Gask</w:t>
      </w:r>
      <w:proofErr w:type="spellEnd"/>
      <w:r w:rsidRPr="00C80680">
        <w:t xml:space="preserve"> L, </w:t>
      </w:r>
      <w:proofErr w:type="spellStart"/>
      <w:r w:rsidRPr="00C80680">
        <w:t>Dowrick</w:t>
      </w:r>
      <w:proofErr w:type="spellEnd"/>
      <w:r w:rsidRPr="00C80680">
        <w:t xml:space="preserve"> C, Salmon P, Peters S, and </w:t>
      </w:r>
      <w:proofErr w:type="spellStart"/>
      <w:r w:rsidRPr="00C80680">
        <w:t>Morriss</w:t>
      </w:r>
      <w:proofErr w:type="spellEnd"/>
      <w:r w:rsidRPr="00C80680">
        <w:t xml:space="preserve"> R. (2011</w:t>
      </w:r>
      <w:proofErr w:type="gramStart"/>
      <w:r w:rsidRPr="00C80680">
        <w:t>)</w:t>
      </w:r>
      <w:r w:rsidR="001352C4" w:rsidRPr="00C80680">
        <w:t xml:space="preserve">  Reattribution</w:t>
      </w:r>
      <w:proofErr w:type="gramEnd"/>
      <w:r w:rsidR="001352C4" w:rsidRPr="00C80680">
        <w:t xml:space="preserve"> reconsidered: Narrative review and reflections on an educational intervention for medically unexplained symptoms in primary care settings. </w:t>
      </w:r>
      <w:r w:rsidR="001352C4" w:rsidRPr="00C80680">
        <w:rPr>
          <w:i/>
        </w:rPr>
        <w:t>Jo</w:t>
      </w:r>
      <w:r w:rsidRPr="00C80680">
        <w:rPr>
          <w:i/>
        </w:rPr>
        <w:t>urnal of Psychosomatic Research</w:t>
      </w:r>
      <w:r w:rsidR="001352C4" w:rsidRPr="00C80680">
        <w:rPr>
          <w:i/>
        </w:rPr>
        <w:t xml:space="preserve"> </w:t>
      </w:r>
      <w:r w:rsidR="001352C4" w:rsidRPr="00C80680">
        <w:t>71</w:t>
      </w:r>
      <w:r w:rsidRPr="00C80680">
        <w:t>(5):</w:t>
      </w:r>
      <w:r w:rsidR="001352C4" w:rsidRPr="00C80680">
        <w:t xml:space="preserve"> 325-334. </w:t>
      </w:r>
      <w:proofErr w:type="spellStart"/>
      <w:r w:rsidR="001352C4" w:rsidRPr="00C80680">
        <w:t>doi</w:t>
      </w:r>
      <w:proofErr w:type="spellEnd"/>
      <w:r w:rsidR="001352C4" w:rsidRPr="00C80680">
        <w:t>: 10.1016/j.jpsychores.2011.05.008</w:t>
      </w:r>
    </w:p>
    <w:p w14:paraId="4493465D" w14:textId="77777777" w:rsidR="007C4DC5" w:rsidRDefault="007C4DC5" w:rsidP="007C4DC5">
      <w:pPr>
        <w:pStyle w:val="ListParagraph"/>
      </w:pPr>
    </w:p>
    <w:p w14:paraId="39EFF4FE" w14:textId="6E4B26FE" w:rsidR="007C4DC5" w:rsidRDefault="007C4DC5" w:rsidP="007C4DC5">
      <w:pPr>
        <w:pStyle w:val="ListParagraph"/>
        <w:numPr>
          <w:ilvl w:val="0"/>
          <w:numId w:val="1"/>
        </w:numPr>
      </w:pPr>
      <w:r>
        <w:t xml:space="preserve">Zundel CG, </w:t>
      </w:r>
      <w:proofErr w:type="spellStart"/>
      <w:r>
        <w:t>Krengel</w:t>
      </w:r>
      <w:proofErr w:type="spellEnd"/>
      <w:r>
        <w:t xml:space="preserve"> MH, </w:t>
      </w:r>
      <w:proofErr w:type="spellStart"/>
      <w:r>
        <w:t>Heeren</w:t>
      </w:r>
      <w:proofErr w:type="spellEnd"/>
      <w:r>
        <w:t xml:space="preserve"> T, Yee MK, Grasso CM,</w:t>
      </w:r>
      <w:r>
        <w:t xml:space="preserve"> </w:t>
      </w:r>
      <w:proofErr w:type="spellStart"/>
      <w:r>
        <w:t>Janulewicz</w:t>
      </w:r>
      <w:proofErr w:type="spellEnd"/>
      <w:r>
        <w:t xml:space="preserve"> Lloyd PA, et al. Rates of chronic medical conditions</w:t>
      </w:r>
      <w:r>
        <w:t xml:space="preserve"> </w:t>
      </w:r>
      <w:r>
        <w:t xml:space="preserve">in 1991 </w:t>
      </w:r>
      <w:proofErr w:type="spellStart"/>
      <w:r>
        <w:t>GulfWar</w:t>
      </w:r>
      <w:proofErr w:type="spellEnd"/>
      <w:r>
        <w:t xml:space="preserve"> Veterans compared to the general population. </w:t>
      </w:r>
      <w:r w:rsidRPr="007C4DC5">
        <w:rPr>
          <w:i/>
        </w:rPr>
        <w:t>Int</w:t>
      </w:r>
      <w:r w:rsidRPr="007C4DC5">
        <w:rPr>
          <w:i/>
        </w:rPr>
        <w:t xml:space="preserve"> </w:t>
      </w:r>
      <w:r w:rsidRPr="007C4DC5">
        <w:rPr>
          <w:i/>
        </w:rPr>
        <w:t>J Environ Res Public Health</w:t>
      </w:r>
      <w:r>
        <w:t xml:space="preserve">. </w:t>
      </w:r>
      <w:proofErr w:type="gramStart"/>
      <w:r>
        <w:t>2019;16:949</w:t>
      </w:r>
      <w:proofErr w:type="gramEnd"/>
      <w:r>
        <w:t>. https://doi.org/10.3390/ijerph16060949.</w:t>
      </w:r>
    </w:p>
    <w:p w14:paraId="4596778F" w14:textId="77777777" w:rsidR="007C4DC5" w:rsidRDefault="007C4DC5" w:rsidP="007C4DC5">
      <w:pPr>
        <w:pStyle w:val="ListParagraph"/>
      </w:pPr>
      <w:bookmarkStart w:id="8" w:name="_GoBack"/>
      <w:bookmarkEnd w:id="8"/>
    </w:p>
    <w:p w14:paraId="6E0B3FD0" w14:textId="409BF417" w:rsidR="007C4DC5" w:rsidRPr="00C80680" w:rsidRDefault="007C4DC5" w:rsidP="007C4DC5">
      <w:pPr>
        <w:pStyle w:val="ListParagraph"/>
        <w:numPr>
          <w:ilvl w:val="0"/>
          <w:numId w:val="1"/>
        </w:numPr>
      </w:pPr>
      <w:proofErr w:type="spellStart"/>
      <w:r w:rsidRPr="00C80680">
        <w:t>Nettleman</w:t>
      </w:r>
      <w:proofErr w:type="spellEnd"/>
      <w:r w:rsidRPr="00C80680">
        <w:t xml:space="preserve"> M. Gulf War Illness: Challenges persist. </w:t>
      </w:r>
      <w:r w:rsidRPr="00C80680">
        <w:rPr>
          <w:i/>
        </w:rPr>
        <w:t xml:space="preserve">Trans Am Clin </w:t>
      </w:r>
      <w:proofErr w:type="spellStart"/>
      <w:r w:rsidRPr="00C80680">
        <w:rPr>
          <w:i/>
        </w:rPr>
        <w:t>Climatol</w:t>
      </w:r>
      <w:proofErr w:type="spellEnd"/>
      <w:r w:rsidRPr="00C80680">
        <w:rPr>
          <w:i/>
        </w:rPr>
        <w:t xml:space="preserve"> Assoc</w:t>
      </w:r>
      <w:r w:rsidRPr="00C80680">
        <w:t xml:space="preserve">. </w:t>
      </w:r>
      <w:proofErr w:type="gramStart"/>
      <w:r w:rsidRPr="00C80680">
        <w:t>2015;126:237</w:t>
      </w:r>
      <w:proofErr w:type="gramEnd"/>
      <w:r w:rsidRPr="00C80680">
        <w:t>-247.</w:t>
      </w:r>
    </w:p>
    <w:p w14:paraId="353CC686" w14:textId="77777777" w:rsidR="007C4DC5" w:rsidRPr="00C80680" w:rsidRDefault="007C4DC5" w:rsidP="007C4DC5">
      <w:pPr>
        <w:pStyle w:val="ListParagraph"/>
      </w:pPr>
    </w:p>
    <w:bookmarkEnd w:id="6"/>
    <w:p w14:paraId="6AF351EB" w14:textId="77777777" w:rsidR="001352C4" w:rsidRPr="00C80680" w:rsidRDefault="001352C4" w:rsidP="007C3EE7"/>
    <w:bookmarkEnd w:id="7"/>
    <w:p w14:paraId="45A30C07" w14:textId="77777777" w:rsidR="00CD1B87" w:rsidRPr="00C80680" w:rsidRDefault="00CD1B87" w:rsidP="00EB40FC"/>
    <w:p w14:paraId="54A91D01" w14:textId="77777777" w:rsidR="00633593" w:rsidRPr="00C80680" w:rsidRDefault="00633593" w:rsidP="00EB40FC"/>
    <w:p w14:paraId="33FB1B8C" w14:textId="78B7D480" w:rsidR="00EB40FC" w:rsidRPr="00C80680" w:rsidRDefault="00EB40FC" w:rsidP="00EB40FC"/>
    <w:p w14:paraId="6A34D1B1" w14:textId="02E58750" w:rsidR="000B093C" w:rsidRPr="00C80680" w:rsidRDefault="00EB40FC" w:rsidP="00EB40FC">
      <w:r w:rsidRPr="00C80680">
        <w:t xml:space="preserve"> </w:t>
      </w:r>
    </w:p>
    <w:sectPr w:rsidR="000B093C" w:rsidRPr="00C806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57271" w14:textId="77777777" w:rsidR="00382D08" w:rsidRDefault="00382D08" w:rsidP="003D5A5C">
      <w:r>
        <w:separator/>
      </w:r>
    </w:p>
  </w:endnote>
  <w:endnote w:type="continuationSeparator" w:id="0">
    <w:p w14:paraId="165286D6" w14:textId="77777777" w:rsidR="00382D08" w:rsidRDefault="00382D08" w:rsidP="003D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9A0E" w14:textId="77777777" w:rsidR="00382D08" w:rsidRDefault="00382D08" w:rsidP="003D5A5C">
      <w:r>
        <w:separator/>
      </w:r>
    </w:p>
  </w:footnote>
  <w:footnote w:type="continuationSeparator" w:id="0">
    <w:p w14:paraId="253AC012" w14:textId="77777777" w:rsidR="00382D08" w:rsidRDefault="00382D08" w:rsidP="003D5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9D00" w14:textId="480B0840" w:rsidR="008C0758" w:rsidRDefault="008C0758">
    <w:pPr>
      <w:pStyle w:val="Header"/>
    </w:pPr>
    <w:r>
      <w:t>ILLNESS BELIEFS, BEHAVIORS, AND MUS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A319C"/>
    <w:multiLevelType w:val="hybridMultilevel"/>
    <w:tmpl w:val="93EC2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302EF"/>
    <w:multiLevelType w:val="hybridMultilevel"/>
    <w:tmpl w:val="655E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043F6"/>
    <w:multiLevelType w:val="hybridMultilevel"/>
    <w:tmpl w:val="655E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FC"/>
    <w:rsid w:val="00003BD7"/>
    <w:rsid w:val="000056B4"/>
    <w:rsid w:val="00007836"/>
    <w:rsid w:val="00007EFB"/>
    <w:rsid w:val="000129F7"/>
    <w:rsid w:val="00012FC4"/>
    <w:rsid w:val="00014792"/>
    <w:rsid w:val="000205E7"/>
    <w:rsid w:val="00020730"/>
    <w:rsid w:val="00022913"/>
    <w:rsid w:val="00024878"/>
    <w:rsid w:val="00025195"/>
    <w:rsid w:val="00031828"/>
    <w:rsid w:val="000333B8"/>
    <w:rsid w:val="00045A49"/>
    <w:rsid w:val="00050D51"/>
    <w:rsid w:val="00055312"/>
    <w:rsid w:val="00060B02"/>
    <w:rsid w:val="00061850"/>
    <w:rsid w:val="00063DE6"/>
    <w:rsid w:val="00084C6D"/>
    <w:rsid w:val="00087889"/>
    <w:rsid w:val="00091B28"/>
    <w:rsid w:val="0009641B"/>
    <w:rsid w:val="000A0752"/>
    <w:rsid w:val="000A1BE5"/>
    <w:rsid w:val="000A62A1"/>
    <w:rsid w:val="000A7EED"/>
    <w:rsid w:val="000B093C"/>
    <w:rsid w:val="000B150A"/>
    <w:rsid w:val="000B1D96"/>
    <w:rsid w:val="000B1EA2"/>
    <w:rsid w:val="000C050C"/>
    <w:rsid w:val="000C544C"/>
    <w:rsid w:val="000F1D38"/>
    <w:rsid w:val="001002B2"/>
    <w:rsid w:val="00106370"/>
    <w:rsid w:val="00111AFC"/>
    <w:rsid w:val="001128A2"/>
    <w:rsid w:val="001224BB"/>
    <w:rsid w:val="00127322"/>
    <w:rsid w:val="0012776F"/>
    <w:rsid w:val="00134499"/>
    <w:rsid w:val="00134E73"/>
    <w:rsid w:val="001352C4"/>
    <w:rsid w:val="001456C0"/>
    <w:rsid w:val="00145C60"/>
    <w:rsid w:val="001460EB"/>
    <w:rsid w:val="001469B5"/>
    <w:rsid w:val="00147C80"/>
    <w:rsid w:val="00164777"/>
    <w:rsid w:val="001656AA"/>
    <w:rsid w:val="001663A8"/>
    <w:rsid w:val="00166F6B"/>
    <w:rsid w:val="0017128E"/>
    <w:rsid w:val="001720A7"/>
    <w:rsid w:val="001734CC"/>
    <w:rsid w:val="001761CF"/>
    <w:rsid w:val="00180A83"/>
    <w:rsid w:val="00181030"/>
    <w:rsid w:val="001858F9"/>
    <w:rsid w:val="00196292"/>
    <w:rsid w:val="001A0172"/>
    <w:rsid w:val="001A18C8"/>
    <w:rsid w:val="001B0CEE"/>
    <w:rsid w:val="001B1422"/>
    <w:rsid w:val="001B3D70"/>
    <w:rsid w:val="001B4870"/>
    <w:rsid w:val="001B5763"/>
    <w:rsid w:val="001B6888"/>
    <w:rsid w:val="001B6F5A"/>
    <w:rsid w:val="001C1B0D"/>
    <w:rsid w:val="001C3558"/>
    <w:rsid w:val="001C5E39"/>
    <w:rsid w:val="001C7FBE"/>
    <w:rsid w:val="001D4612"/>
    <w:rsid w:val="001D4670"/>
    <w:rsid w:val="001E11E5"/>
    <w:rsid w:val="001E4806"/>
    <w:rsid w:val="001F655B"/>
    <w:rsid w:val="00220211"/>
    <w:rsid w:val="00220BAB"/>
    <w:rsid w:val="00221215"/>
    <w:rsid w:val="00225144"/>
    <w:rsid w:val="00232E4C"/>
    <w:rsid w:val="0023334F"/>
    <w:rsid w:val="00237F37"/>
    <w:rsid w:val="0025055B"/>
    <w:rsid w:val="002508AA"/>
    <w:rsid w:val="002525D9"/>
    <w:rsid w:val="00252611"/>
    <w:rsid w:val="00253330"/>
    <w:rsid w:val="002554B2"/>
    <w:rsid w:val="00257ADD"/>
    <w:rsid w:val="0026024B"/>
    <w:rsid w:val="00261DD0"/>
    <w:rsid w:val="00262186"/>
    <w:rsid w:val="00262CBF"/>
    <w:rsid w:val="002662EB"/>
    <w:rsid w:val="00266368"/>
    <w:rsid w:val="00271767"/>
    <w:rsid w:val="0027445B"/>
    <w:rsid w:val="00275BDE"/>
    <w:rsid w:val="00276F82"/>
    <w:rsid w:val="00280AC7"/>
    <w:rsid w:val="0028196E"/>
    <w:rsid w:val="0028767C"/>
    <w:rsid w:val="00287AEE"/>
    <w:rsid w:val="00290328"/>
    <w:rsid w:val="002941A7"/>
    <w:rsid w:val="0029495B"/>
    <w:rsid w:val="0029522C"/>
    <w:rsid w:val="0029743F"/>
    <w:rsid w:val="002A2359"/>
    <w:rsid w:val="002A3C47"/>
    <w:rsid w:val="002B300E"/>
    <w:rsid w:val="002B3D99"/>
    <w:rsid w:val="002B41B3"/>
    <w:rsid w:val="002B4FA1"/>
    <w:rsid w:val="002B5545"/>
    <w:rsid w:val="002C050F"/>
    <w:rsid w:val="002C17C7"/>
    <w:rsid w:val="002C5275"/>
    <w:rsid w:val="002C5E41"/>
    <w:rsid w:val="002C689C"/>
    <w:rsid w:val="002D4593"/>
    <w:rsid w:val="002D552B"/>
    <w:rsid w:val="002E5E89"/>
    <w:rsid w:val="002E6D14"/>
    <w:rsid w:val="002E757D"/>
    <w:rsid w:val="002F1ECE"/>
    <w:rsid w:val="002F5277"/>
    <w:rsid w:val="002F7DB8"/>
    <w:rsid w:val="00300BDA"/>
    <w:rsid w:val="0030103D"/>
    <w:rsid w:val="00301AC2"/>
    <w:rsid w:val="00306E3E"/>
    <w:rsid w:val="00310C07"/>
    <w:rsid w:val="003132A2"/>
    <w:rsid w:val="003159A6"/>
    <w:rsid w:val="00315F9E"/>
    <w:rsid w:val="00336F82"/>
    <w:rsid w:val="00337F0C"/>
    <w:rsid w:val="003422E7"/>
    <w:rsid w:val="0034257D"/>
    <w:rsid w:val="00343FBF"/>
    <w:rsid w:val="00345FE8"/>
    <w:rsid w:val="0035265F"/>
    <w:rsid w:val="00353EC7"/>
    <w:rsid w:val="003555C8"/>
    <w:rsid w:val="003679BF"/>
    <w:rsid w:val="00372119"/>
    <w:rsid w:val="003748CF"/>
    <w:rsid w:val="0037659D"/>
    <w:rsid w:val="003820BD"/>
    <w:rsid w:val="00382D08"/>
    <w:rsid w:val="003843B3"/>
    <w:rsid w:val="00384FC8"/>
    <w:rsid w:val="00386C18"/>
    <w:rsid w:val="003940D4"/>
    <w:rsid w:val="0039562D"/>
    <w:rsid w:val="00395EA8"/>
    <w:rsid w:val="003A04F3"/>
    <w:rsid w:val="003A270F"/>
    <w:rsid w:val="003A6EAA"/>
    <w:rsid w:val="003B2583"/>
    <w:rsid w:val="003C1888"/>
    <w:rsid w:val="003D206C"/>
    <w:rsid w:val="003D337F"/>
    <w:rsid w:val="003D4F00"/>
    <w:rsid w:val="003D5A5C"/>
    <w:rsid w:val="003E1B67"/>
    <w:rsid w:val="003E1E25"/>
    <w:rsid w:val="003E23BA"/>
    <w:rsid w:val="003F0A12"/>
    <w:rsid w:val="003F37CE"/>
    <w:rsid w:val="003F4EFC"/>
    <w:rsid w:val="003F6BF6"/>
    <w:rsid w:val="004028D5"/>
    <w:rsid w:val="00404DB7"/>
    <w:rsid w:val="00406797"/>
    <w:rsid w:val="00411542"/>
    <w:rsid w:val="00411677"/>
    <w:rsid w:val="00411FD8"/>
    <w:rsid w:val="00414E52"/>
    <w:rsid w:val="004155C0"/>
    <w:rsid w:val="0042474A"/>
    <w:rsid w:val="00427E98"/>
    <w:rsid w:val="00430055"/>
    <w:rsid w:val="00433EC5"/>
    <w:rsid w:val="00433F0B"/>
    <w:rsid w:val="00437BE1"/>
    <w:rsid w:val="0044331A"/>
    <w:rsid w:val="00454DAF"/>
    <w:rsid w:val="00460801"/>
    <w:rsid w:val="00465355"/>
    <w:rsid w:val="004706E1"/>
    <w:rsid w:val="00470DF4"/>
    <w:rsid w:val="00474241"/>
    <w:rsid w:val="00475132"/>
    <w:rsid w:val="00475706"/>
    <w:rsid w:val="00477014"/>
    <w:rsid w:val="00477A26"/>
    <w:rsid w:val="00480A75"/>
    <w:rsid w:val="00481EBF"/>
    <w:rsid w:val="00485461"/>
    <w:rsid w:val="004940AB"/>
    <w:rsid w:val="00494DED"/>
    <w:rsid w:val="004A2C3F"/>
    <w:rsid w:val="004A3E5E"/>
    <w:rsid w:val="004A5A3F"/>
    <w:rsid w:val="004A65AC"/>
    <w:rsid w:val="004A7F34"/>
    <w:rsid w:val="004B3687"/>
    <w:rsid w:val="004C005D"/>
    <w:rsid w:val="004C4434"/>
    <w:rsid w:val="004C576A"/>
    <w:rsid w:val="004C6192"/>
    <w:rsid w:val="004D0448"/>
    <w:rsid w:val="004D3E3B"/>
    <w:rsid w:val="004D4172"/>
    <w:rsid w:val="004D576A"/>
    <w:rsid w:val="004E2891"/>
    <w:rsid w:val="004E7A6F"/>
    <w:rsid w:val="004F2E9A"/>
    <w:rsid w:val="004F2EC0"/>
    <w:rsid w:val="004F411F"/>
    <w:rsid w:val="00504C41"/>
    <w:rsid w:val="0050543D"/>
    <w:rsid w:val="00505E7B"/>
    <w:rsid w:val="0050721B"/>
    <w:rsid w:val="00507A2A"/>
    <w:rsid w:val="0051147C"/>
    <w:rsid w:val="00512C1E"/>
    <w:rsid w:val="00514E38"/>
    <w:rsid w:val="005236B2"/>
    <w:rsid w:val="005251D3"/>
    <w:rsid w:val="005346E3"/>
    <w:rsid w:val="00535619"/>
    <w:rsid w:val="0053773A"/>
    <w:rsid w:val="00537F45"/>
    <w:rsid w:val="0054212A"/>
    <w:rsid w:val="00545AD7"/>
    <w:rsid w:val="00546D53"/>
    <w:rsid w:val="00547371"/>
    <w:rsid w:val="0055058F"/>
    <w:rsid w:val="00555D93"/>
    <w:rsid w:val="00563352"/>
    <w:rsid w:val="0056451F"/>
    <w:rsid w:val="0056478D"/>
    <w:rsid w:val="00566DEE"/>
    <w:rsid w:val="00570BF4"/>
    <w:rsid w:val="00580630"/>
    <w:rsid w:val="0058091A"/>
    <w:rsid w:val="00583D70"/>
    <w:rsid w:val="00584D03"/>
    <w:rsid w:val="00595AB9"/>
    <w:rsid w:val="005A2AE5"/>
    <w:rsid w:val="005A2FE4"/>
    <w:rsid w:val="005A36D7"/>
    <w:rsid w:val="005B0905"/>
    <w:rsid w:val="005B11B4"/>
    <w:rsid w:val="005B343C"/>
    <w:rsid w:val="005B48EA"/>
    <w:rsid w:val="005B5D08"/>
    <w:rsid w:val="005C1014"/>
    <w:rsid w:val="005C18A3"/>
    <w:rsid w:val="005C3AF7"/>
    <w:rsid w:val="005C479C"/>
    <w:rsid w:val="005C580D"/>
    <w:rsid w:val="005C5ACD"/>
    <w:rsid w:val="005D0420"/>
    <w:rsid w:val="005D60CE"/>
    <w:rsid w:val="005D73F7"/>
    <w:rsid w:val="005E38F2"/>
    <w:rsid w:val="005E3BF1"/>
    <w:rsid w:val="005E5609"/>
    <w:rsid w:val="005F4011"/>
    <w:rsid w:val="005F6832"/>
    <w:rsid w:val="00600843"/>
    <w:rsid w:val="00603000"/>
    <w:rsid w:val="00612448"/>
    <w:rsid w:val="00615BF0"/>
    <w:rsid w:val="00622DD2"/>
    <w:rsid w:val="006232F7"/>
    <w:rsid w:val="00625CA5"/>
    <w:rsid w:val="00627EDD"/>
    <w:rsid w:val="0063311D"/>
    <w:rsid w:val="00633593"/>
    <w:rsid w:val="00633AED"/>
    <w:rsid w:val="00642643"/>
    <w:rsid w:val="00644EF2"/>
    <w:rsid w:val="00647050"/>
    <w:rsid w:val="00647713"/>
    <w:rsid w:val="006552C2"/>
    <w:rsid w:val="006561A3"/>
    <w:rsid w:val="00657947"/>
    <w:rsid w:val="0066281C"/>
    <w:rsid w:val="006638FD"/>
    <w:rsid w:val="00666101"/>
    <w:rsid w:val="00670F84"/>
    <w:rsid w:val="006867CB"/>
    <w:rsid w:val="00687A3B"/>
    <w:rsid w:val="00691EB6"/>
    <w:rsid w:val="00692009"/>
    <w:rsid w:val="00692066"/>
    <w:rsid w:val="00694E4B"/>
    <w:rsid w:val="00695FED"/>
    <w:rsid w:val="006A12E6"/>
    <w:rsid w:val="006A145C"/>
    <w:rsid w:val="006A5878"/>
    <w:rsid w:val="006B1F9A"/>
    <w:rsid w:val="006B4096"/>
    <w:rsid w:val="006B6551"/>
    <w:rsid w:val="006C0B5C"/>
    <w:rsid w:val="006C34B0"/>
    <w:rsid w:val="006C35F6"/>
    <w:rsid w:val="006C5510"/>
    <w:rsid w:val="006C5B77"/>
    <w:rsid w:val="006C69AF"/>
    <w:rsid w:val="006D4DD5"/>
    <w:rsid w:val="006E4969"/>
    <w:rsid w:val="006E6773"/>
    <w:rsid w:val="006E7D2D"/>
    <w:rsid w:val="006F0393"/>
    <w:rsid w:val="006F03B8"/>
    <w:rsid w:val="006F1872"/>
    <w:rsid w:val="006F29BC"/>
    <w:rsid w:val="006F2BF5"/>
    <w:rsid w:val="007006C8"/>
    <w:rsid w:val="00703887"/>
    <w:rsid w:val="007205D6"/>
    <w:rsid w:val="00725794"/>
    <w:rsid w:val="00726386"/>
    <w:rsid w:val="00726CB9"/>
    <w:rsid w:val="00731CB2"/>
    <w:rsid w:val="00735F52"/>
    <w:rsid w:val="00743EEA"/>
    <w:rsid w:val="00744085"/>
    <w:rsid w:val="00744DCE"/>
    <w:rsid w:val="00746F7B"/>
    <w:rsid w:val="0075201F"/>
    <w:rsid w:val="00773713"/>
    <w:rsid w:val="00780FE5"/>
    <w:rsid w:val="007829A0"/>
    <w:rsid w:val="00783BFC"/>
    <w:rsid w:val="00784723"/>
    <w:rsid w:val="00784C6E"/>
    <w:rsid w:val="007918C8"/>
    <w:rsid w:val="007959E0"/>
    <w:rsid w:val="00796340"/>
    <w:rsid w:val="007A55E5"/>
    <w:rsid w:val="007A6455"/>
    <w:rsid w:val="007A73B9"/>
    <w:rsid w:val="007C0224"/>
    <w:rsid w:val="007C3EE7"/>
    <w:rsid w:val="007C4DC5"/>
    <w:rsid w:val="007C66CF"/>
    <w:rsid w:val="007D0F42"/>
    <w:rsid w:val="007D2633"/>
    <w:rsid w:val="007D2B8D"/>
    <w:rsid w:val="007D5469"/>
    <w:rsid w:val="007D54D8"/>
    <w:rsid w:val="007D7257"/>
    <w:rsid w:val="007D7FC3"/>
    <w:rsid w:val="007E3FA6"/>
    <w:rsid w:val="007E5A3E"/>
    <w:rsid w:val="007F14D4"/>
    <w:rsid w:val="007F1818"/>
    <w:rsid w:val="007F3B2F"/>
    <w:rsid w:val="00802A28"/>
    <w:rsid w:val="00805351"/>
    <w:rsid w:val="00810FEA"/>
    <w:rsid w:val="00812F03"/>
    <w:rsid w:val="00813026"/>
    <w:rsid w:val="00813653"/>
    <w:rsid w:val="008203C4"/>
    <w:rsid w:val="00823972"/>
    <w:rsid w:val="0082441F"/>
    <w:rsid w:val="008257E3"/>
    <w:rsid w:val="008258A7"/>
    <w:rsid w:val="008262F9"/>
    <w:rsid w:val="00844516"/>
    <w:rsid w:val="00846CE0"/>
    <w:rsid w:val="00851D2F"/>
    <w:rsid w:val="008539F7"/>
    <w:rsid w:val="00854843"/>
    <w:rsid w:val="0085485B"/>
    <w:rsid w:val="008646C6"/>
    <w:rsid w:val="00885723"/>
    <w:rsid w:val="00885892"/>
    <w:rsid w:val="0089130A"/>
    <w:rsid w:val="008915E5"/>
    <w:rsid w:val="008961E9"/>
    <w:rsid w:val="0089789A"/>
    <w:rsid w:val="008A72CA"/>
    <w:rsid w:val="008B1DFD"/>
    <w:rsid w:val="008B3B52"/>
    <w:rsid w:val="008B4F1B"/>
    <w:rsid w:val="008B5DDC"/>
    <w:rsid w:val="008B5F8E"/>
    <w:rsid w:val="008C0758"/>
    <w:rsid w:val="008C10F7"/>
    <w:rsid w:val="008C4E45"/>
    <w:rsid w:val="008C5AAF"/>
    <w:rsid w:val="008D513F"/>
    <w:rsid w:val="008D595B"/>
    <w:rsid w:val="008E5C8A"/>
    <w:rsid w:val="008F1874"/>
    <w:rsid w:val="008F7376"/>
    <w:rsid w:val="009002C4"/>
    <w:rsid w:val="009006D4"/>
    <w:rsid w:val="0090479A"/>
    <w:rsid w:val="00904EB4"/>
    <w:rsid w:val="00912614"/>
    <w:rsid w:val="00912B57"/>
    <w:rsid w:val="00916773"/>
    <w:rsid w:val="00921D6E"/>
    <w:rsid w:val="00923B81"/>
    <w:rsid w:val="00923BE5"/>
    <w:rsid w:val="0092705E"/>
    <w:rsid w:val="009316DD"/>
    <w:rsid w:val="00931DA2"/>
    <w:rsid w:val="009371FD"/>
    <w:rsid w:val="00937F7D"/>
    <w:rsid w:val="00942356"/>
    <w:rsid w:val="00954B68"/>
    <w:rsid w:val="00955421"/>
    <w:rsid w:val="00956626"/>
    <w:rsid w:val="00966A63"/>
    <w:rsid w:val="0097041C"/>
    <w:rsid w:val="009724B2"/>
    <w:rsid w:val="00972E76"/>
    <w:rsid w:val="00975E36"/>
    <w:rsid w:val="009772D6"/>
    <w:rsid w:val="00977C7F"/>
    <w:rsid w:val="00982F82"/>
    <w:rsid w:val="0099273A"/>
    <w:rsid w:val="009932E6"/>
    <w:rsid w:val="009A059D"/>
    <w:rsid w:val="009A11E0"/>
    <w:rsid w:val="009A3C8E"/>
    <w:rsid w:val="009C149E"/>
    <w:rsid w:val="009C1510"/>
    <w:rsid w:val="009C17C4"/>
    <w:rsid w:val="009C487D"/>
    <w:rsid w:val="009C68D0"/>
    <w:rsid w:val="009D0B46"/>
    <w:rsid w:val="009D4DF3"/>
    <w:rsid w:val="009D52BF"/>
    <w:rsid w:val="009E2584"/>
    <w:rsid w:val="009E402E"/>
    <w:rsid w:val="009E4BA9"/>
    <w:rsid w:val="009E7852"/>
    <w:rsid w:val="009F0B6F"/>
    <w:rsid w:val="009F2AA4"/>
    <w:rsid w:val="009F300C"/>
    <w:rsid w:val="00A0111D"/>
    <w:rsid w:val="00A03BF9"/>
    <w:rsid w:val="00A051C0"/>
    <w:rsid w:val="00A12519"/>
    <w:rsid w:val="00A12D2B"/>
    <w:rsid w:val="00A1434A"/>
    <w:rsid w:val="00A15D05"/>
    <w:rsid w:val="00A1799A"/>
    <w:rsid w:val="00A26893"/>
    <w:rsid w:val="00A306FC"/>
    <w:rsid w:val="00A31D29"/>
    <w:rsid w:val="00A339E1"/>
    <w:rsid w:val="00A435E6"/>
    <w:rsid w:val="00A44722"/>
    <w:rsid w:val="00A51912"/>
    <w:rsid w:val="00A52B36"/>
    <w:rsid w:val="00A54087"/>
    <w:rsid w:val="00A545AF"/>
    <w:rsid w:val="00A54C30"/>
    <w:rsid w:val="00A61D3B"/>
    <w:rsid w:val="00A65196"/>
    <w:rsid w:val="00A6564A"/>
    <w:rsid w:val="00A718B2"/>
    <w:rsid w:val="00A74C86"/>
    <w:rsid w:val="00A758EC"/>
    <w:rsid w:val="00A766A2"/>
    <w:rsid w:val="00A8308D"/>
    <w:rsid w:val="00A851B2"/>
    <w:rsid w:val="00A86E4D"/>
    <w:rsid w:val="00A924D2"/>
    <w:rsid w:val="00AA2CE4"/>
    <w:rsid w:val="00AB28E0"/>
    <w:rsid w:val="00AB3CC5"/>
    <w:rsid w:val="00AB409F"/>
    <w:rsid w:val="00AB4B42"/>
    <w:rsid w:val="00AB6118"/>
    <w:rsid w:val="00AC1B03"/>
    <w:rsid w:val="00AC79B7"/>
    <w:rsid w:val="00AD2B10"/>
    <w:rsid w:val="00AE0DD6"/>
    <w:rsid w:val="00AE1409"/>
    <w:rsid w:val="00AE3F7A"/>
    <w:rsid w:val="00AE53C1"/>
    <w:rsid w:val="00AF0458"/>
    <w:rsid w:val="00B0182A"/>
    <w:rsid w:val="00B0269A"/>
    <w:rsid w:val="00B0499D"/>
    <w:rsid w:val="00B10588"/>
    <w:rsid w:val="00B10ED1"/>
    <w:rsid w:val="00B146F9"/>
    <w:rsid w:val="00B15CD1"/>
    <w:rsid w:val="00B17357"/>
    <w:rsid w:val="00B17B26"/>
    <w:rsid w:val="00B2294C"/>
    <w:rsid w:val="00B329DC"/>
    <w:rsid w:val="00B425A9"/>
    <w:rsid w:val="00B44859"/>
    <w:rsid w:val="00B4795F"/>
    <w:rsid w:val="00B5033C"/>
    <w:rsid w:val="00B55D0B"/>
    <w:rsid w:val="00B659B5"/>
    <w:rsid w:val="00B6769F"/>
    <w:rsid w:val="00B70546"/>
    <w:rsid w:val="00B73285"/>
    <w:rsid w:val="00B76F05"/>
    <w:rsid w:val="00B80B49"/>
    <w:rsid w:val="00B82027"/>
    <w:rsid w:val="00B83267"/>
    <w:rsid w:val="00B848EA"/>
    <w:rsid w:val="00B91038"/>
    <w:rsid w:val="00B91107"/>
    <w:rsid w:val="00B95930"/>
    <w:rsid w:val="00B966E2"/>
    <w:rsid w:val="00BA14F6"/>
    <w:rsid w:val="00BA175D"/>
    <w:rsid w:val="00BA230C"/>
    <w:rsid w:val="00BA3794"/>
    <w:rsid w:val="00BB0E95"/>
    <w:rsid w:val="00BB2340"/>
    <w:rsid w:val="00BB4D9D"/>
    <w:rsid w:val="00BB740A"/>
    <w:rsid w:val="00BC2DEE"/>
    <w:rsid w:val="00BD0443"/>
    <w:rsid w:val="00BD0CC1"/>
    <w:rsid w:val="00BD68AB"/>
    <w:rsid w:val="00BD7886"/>
    <w:rsid w:val="00BE03F5"/>
    <w:rsid w:val="00BE0DA1"/>
    <w:rsid w:val="00BE5FB0"/>
    <w:rsid w:val="00BF0560"/>
    <w:rsid w:val="00BF201D"/>
    <w:rsid w:val="00BF3D22"/>
    <w:rsid w:val="00BF7319"/>
    <w:rsid w:val="00C0030D"/>
    <w:rsid w:val="00C01879"/>
    <w:rsid w:val="00C02354"/>
    <w:rsid w:val="00C06D38"/>
    <w:rsid w:val="00C15A3B"/>
    <w:rsid w:val="00C2050D"/>
    <w:rsid w:val="00C261ED"/>
    <w:rsid w:val="00C32FAF"/>
    <w:rsid w:val="00C34A87"/>
    <w:rsid w:val="00C5161B"/>
    <w:rsid w:val="00C51D01"/>
    <w:rsid w:val="00C54C96"/>
    <w:rsid w:val="00C6025C"/>
    <w:rsid w:val="00C637E3"/>
    <w:rsid w:val="00C63D9A"/>
    <w:rsid w:val="00C63F26"/>
    <w:rsid w:val="00C65D1E"/>
    <w:rsid w:val="00C66710"/>
    <w:rsid w:val="00C6780D"/>
    <w:rsid w:val="00C708BE"/>
    <w:rsid w:val="00C72664"/>
    <w:rsid w:val="00C73495"/>
    <w:rsid w:val="00C74198"/>
    <w:rsid w:val="00C8009E"/>
    <w:rsid w:val="00C80680"/>
    <w:rsid w:val="00C85099"/>
    <w:rsid w:val="00C86692"/>
    <w:rsid w:val="00C925C5"/>
    <w:rsid w:val="00C931CF"/>
    <w:rsid w:val="00C93F32"/>
    <w:rsid w:val="00C949F8"/>
    <w:rsid w:val="00CB3CF6"/>
    <w:rsid w:val="00CB54BB"/>
    <w:rsid w:val="00CB78CE"/>
    <w:rsid w:val="00CC4166"/>
    <w:rsid w:val="00CD1B87"/>
    <w:rsid w:val="00CE17DC"/>
    <w:rsid w:val="00CE4C89"/>
    <w:rsid w:val="00CE55C1"/>
    <w:rsid w:val="00CE6DBC"/>
    <w:rsid w:val="00CF2CF8"/>
    <w:rsid w:val="00CF3D9C"/>
    <w:rsid w:val="00D0057E"/>
    <w:rsid w:val="00D05484"/>
    <w:rsid w:val="00D10F5D"/>
    <w:rsid w:val="00D12915"/>
    <w:rsid w:val="00D14879"/>
    <w:rsid w:val="00D15B5A"/>
    <w:rsid w:val="00D2574C"/>
    <w:rsid w:val="00D26BFD"/>
    <w:rsid w:val="00D32535"/>
    <w:rsid w:val="00D34282"/>
    <w:rsid w:val="00D34898"/>
    <w:rsid w:val="00D36FB5"/>
    <w:rsid w:val="00D377AB"/>
    <w:rsid w:val="00D41CEC"/>
    <w:rsid w:val="00D455E4"/>
    <w:rsid w:val="00D52889"/>
    <w:rsid w:val="00D53469"/>
    <w:rsid w:val="00D63B92"/>
    <w:rsid w:val="00D64635"/>
    <w:rsid w:val="00D65624"/>
    <w:rsid w:val="00D66D58"/>
    <w:rsid w:val="00D67795"/>
    <w:rsid w:val="00D733FB"/>
    <w:rsid w:val="00D82FC0"/>
    <w:rsid w:val="00D91434"/>
    <w:rsid w:val="00D933D6"/>
    <w:rsid w:val="00D93B41"/>
    <w:rsid w:val="00DA4595"/>
    <w:rsid w:val="00DA6F64"/>
    <w:rsid w:val="00DB5006"/>
    <w:rsid w:val="00DB5358"/>
    <w:rsid w:val="00DC1ABF"/>
    <w:rsid w:val="00DC4E23"/>
    <w:rsid w:val="00DC61D1"/>
    <w:rsid w:val="00DD259A"/>
    <w:rsid w:val="00DD27B2"/>
    <w:rsid w:val="00DD27CE"/>
    <w:rsid w:val="00DD5C1F"/>
    <w:rsid w:val="00DD6854"/>
    <w:rsid w:val="00DD6EC3"/>
    <w:rsid w:val="00DE1A79"/>
    <w:rsid w:val="00DE666F"/>
    <w:rsid w:val="00DE728D"/>
    <w:rsid w:val="00DE7B8E"/>
    <w:rsid w:val="00DF19E2"/>
    <w:rsid w:val="00DF2464"/>
    <w:rsid w:val="00DF2A89"/>
    <w:rsid w:val="00DF5FA6"/>
    <w:rsid w:val="00DF6951"/>
    <w:rsid w:val="00E001B7"/>
    <w:rsid w:val="00E0074F"/>
    <w:rsid w:val="00E0246F"/>
    <w:rsid w:val="00E06FBD"/>
    <w:rsid w:val="00E13579"/>
    <w:rsid w:val="00E17797"/>
    <w:rsid w:val="00E17B8D"/>
    <w:rsid w:val="00E26BC6"/>
    <w:rsid w:val="00E31F09"/>
    <w:rsid w:val="00E32B47"/>
    <w:rsid w:val="00E41950"/>
    <w:rsid w:val="00E419B5"/>
    <w:rsid w:val="00E43061"/>
    <w:rsid w:val="00E43389"/>
    <w:rsid w:val="00E45AB6"/>
    <w:rsid w:val="00E46A6A"/>
    <w:rsid w:val="00E50C28"/>
    <w:rsid w:val="00E53566"/>
    <w:rsid w:val="00E5466F"/>
    <w:rsid w:val="00E60B93"/>
    <w:rsid w:val="00E62A98"/>
    <w:rsid w:val="00E6364D"/>
    <w:rsid w:val="00E6381C"/>
    <w:rsid w:val="00E66D7F"/>
    <w:rsid w:val="00E721AF"/>
    <w:rsid w:val="00E72DDA"/>
    <w:rsid w:val="00E74381"/>
    <w:rsid w:val="00E7719E"/>
    <w:rsid w:val="00E77459"/>
    <w:rsid w:val="00E7786A"/>
    <w:rsid w:val="00E826E8"/>
    <w:rsid w:val="00E82BDA"/>
    <w:rsid w:val="00E92254"/>
    <w:rsid w:val="00E92A3E"/>
    <w:rsid w:val="00E92D68"/>
    <w:rsid w:val="00E9367F"/>
    <w:rsid w:val="00E95C4A"/>
    <w:rsid w:val="00EA386C"/>
    <w:rsid w:val="00EA3AD2"/>
    <w:rsid w:val="00EA40E1"/>
    <w:rsid w:val="00EA45F4"/>
    <w:rsid w:val="00EA4D70"/>
    <w:rsid w:val="00EA670A"/>
    <w:rsid w:val="00EB20A8"/>
    <w:rsid w:val="00EB2A0B"/>
    <w:rsid w:val="00EB40FC"/>
    <w:rsid w:val="00EB6C46"/>
    <w:rsid w:val="00EC0D89"/>
    <w:rsid w:val="00EC1833"/>
    <w:rsid w:val="00EC68CA"/>
    <w:rsid w:val="00EC7D33"/>
    <w:rsid w:val="00ED079D"/>
    <w:rsid w:val="00ED0ADB"/>
    <w:rsid w:val="00ED294C"/>
    <w:rsid w:val="00ED41E2"/>
    <w:rsid w:val="00ED48BB"/>
    <w:rsid w:val="00ED7C24"/>
    <w:rsid w:val="00ED7DA2"/>
    <w:rsid w:val="00EE65FD"/>
    <w:rsid w:val="00EE6756"/>
    <w:rsid w:val="00EF5BE2"/>
    <w:rsid w:val="00F02AC1"/>
    <w:rsid w:val="00F03053"/>
    <w:rsid w:val="00F04182"/>
    <w:rsid w:val="00F10267"/>
    <w:rsid w:val="00F13312"/>
    <w:rsid w:val="00F1339C"/>
    <w:rsid w:val="00F16415"/>
    <w:rsid w:val="00F17671"/>
    <w:rsid w:val="00F20135"/>
    <w:rsid w:val="00F210B4"/>
    <w:rsid w:val="00F237CB"/>
    <w:rsid w:val="00F25567"/>
    <w:rsid w:val="00F27E4A"/>
    <w:rsid w:val="00F3000D"/>
    <w:rsid w:val="00F338E1"/>
    <w:rsid w:val="00F34A03"/>
    <w:rsid w:val="00F35B98"/>
    <w:rsid w:val="00F447BE"/>
    <w:rsid w:val="00F50432"/>
    <w:rsid w:val="00F506A4"/>
    <w:rsid w:val="00F50D1E"/>
    <w:rsid w:val="00F515F0"/>
    <w:rsid w:val="00F54B49"/>
    <w:rsid w:val="00F6515C"/>
    <w:rsid w:val="00F67655"/>
    <w:rsid w:val="00F71DDD"/>
    <w:rsid w:val="00F71EBA"/>
    <w:rsid w:val="00F77580"/>
    <w:rsid w:val="00F82C9C"/>
    <w:rsid w:val="00F902AD"/>
    <w:rsid w:val="00F93FBE"/>
    <w:rsid w:val="00F94831"/>
    <w:rsid w:val="00F96FD5"/>
    <w:rsid w:val="00F974AB"/>
    <w:rsid w:val="00FA17B4"/>
    <w:rsid w:val="00FA3DA3"/>
    <w:rsid w:val="00FB098E"/>
    <w:rsid w:val="00FB1A30"/>
    <w:rsid w:val="00FB6B3A"/>
    <w:rsid w:val="00FB7DE5"/>
    <w:rsid w:val="00FC0CDC"/>
    <w:rsid w:val="00FC741C"/>
    <w:rsid w:val="00FF388F"/>
    <w:rsid w:val="00FF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7C6"/>
  <w15:docId w15:val="{4B7650AF-B169-4243-99A9-11780360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1818"/>
    <w:rPr>
      <w:sz w:val="16"/>
      <w:szCs w:val="16"/>
    </w:rPr>
  </w:style>
  <w:style w:type="paragraph" w:styleId="CommentText">
    <w:name w:val="annotation text"/>
    <w:basedOn w:val="Normal"/>
    <w:link w:val="CommentTextChar"/>
    <w:uiPriority w:val="99"/>
    <w:semiHidden/>
    <w:unhideWhenUsed/>
    <w:rsid w:val="007F1818"/>
    <w:rPr>
      <w:sz w:val="20"/>
      <w:szCs w:val="20"/>
    </w:rPr>
  </w:style>
  <w:style w:type="character" w:customStyle="1" w:styleId="CommentTextChar">
    <w:name w:val="Comment Text Char"/>
    <w:basedOn w:val="DefaultParagraphFont"/>
    <w:link w:val="CommentText"/>
    <w:uiPriority w:val="99"/>
    <w:semiHidden/>
    <w:rsid w:val="007F18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818"/>
    <w:rPr>
      <w:b/>
      <w:bCs/>
    </w:rPr>
  </w:style>
  <w:style w:type="character" w:customStyle="1" w:styleId="CommentSubjectChar">
    <w:name w:val="Comment Subject Char"/>
    <w:basedOn w:val="CommentTextChar"/>
    <w:link w:val="CommentSubject"/>
    <w:uiPriority w:val="99"/>
    <w:semiHidden/>
    <w:rsid w:val="007F18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1818"/>
    <w:rPr>
      <w:rFonts w:ascii="Tahoma" w:hAnsi="Tahoma" w:cs="Tahoma"/>
      <w:sz w:val="16"/>
      <w:szCs w:val="16"/>
    </w:rPr>
  </w:style>
  <w:style w:type="character" w:customStyle="1" w:styleId="BalloonTextChar">
    <w:name w:val="Balloon Text Char"/>
    <w:basedOn w:val="DefaultParagraphFont"/>
    <w:link w:val="BalloonText"/>
    <w:uiPriority w:val="99"/>
    <w:semiHidden/>
    <w:rsid w:val="007F1818"/>
    <w:rPr>
      <w:rFonts w:ascii="Tahoma" w:eastAsia="Times New Roman" w:hAnsi="Tahoma" w:cs="Tahoma"/>
      <w:sz w:val="16"/>
      <w:szCs w:val="16"/>
    </w:rPr>
  </w:style>
  <w:style w:type="character" w:styleId="PlaceholderText">
    <w:name w:val="Placeholder Text"/>
    <w:basedOn w:val="DefaultParagraphFont"/>
    <w:uiPriority w:val="99"/>
    <w:semiHidden/>
    <w:rsid w:val="00C6025C"/>
    <w:rPr>
      <w:color w:val="808080"/>
    </w:rPr>
  </w:style>
  <w:style w:type="paragraph" w:customStyle="1" w:styleId="Default">
    <w:name w:val="Default"/>
    <w:basedOn w:val="Normal"/>
    <w:rsid w:val="00802A28"/>
    <w:pPr>
      <w:autoSpaceDE w:val="0"/>
      <w:autoSpaceDN w:val="0"/>
    </w:pPr>
    <w:rPr>
      <w:rFonts w:eastAsiaTheme="minorHAnsi"/>
      <w:color w:val="000000"/>
    </w:rPr>
  </w:style>
  <w:style w:type="paragraph" w:styleId="Header">
    <w:name w:val="header"/>
    <w:basedOn w:val="Normal"/>
    <w:link w:val="HeaderChar"/>
    <w:uiPriority w:val="99"/>
    <w:unhideWhenUsed/>
    <w:rsid w:val="003D5A5C"/>
    <w:pPr>
      <w:tabs>
        <w:tab w:val="center" w:pos="4680"/>
        <w:tab w:val="right" w:pos="9360"/>
      </w:tabs>
    </w:pPr>
  </w:style>
  <w:style w:type="character" w:customStyle="1" w:styleId="HeaderChar">
    <w:name w:val="Header Char"/>
    <w:basedOn w:val="DefaultParagraphFont"/>
    <w:link w:val="Header"/>
    <w:uiPriority w:val="99"/>
    <w:rsid w:val="003D5A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5A5C"/>
    <w:pPr>
      <w:tabs>
        <w:tab w:val="center" w:pos="4680"/>
        <w:tab w:val="right" w:pos="9360"/>
      </w:tabs>
    </w:pPr>
  </w:style>
  <w:style w:type="character" w:customStyle="1" w:styleId="FooterChar">
    <w:name w:val="Footer Char"/>
    <w:basedOn w:val="DefaultParagraphFont"/>
    <w:link w:val="Footer"/>
    <w:uiPriority w:val="99"/>
    <w:rsid w:val="003D5A5C"/>
    <w:rPr>
      <w:rFonts w:ascii="Times New Roman" w:eastAsia="Times New Roman" w:hAnsi="Times New Roman" w:cs="Times New Roman"/>
      <w:sz w:val="24"/>
      <w:szCs w:val="24"/>
    </w:rPr>
  </w:style>
  <w:style w:type="paragraph" w:styleId="ListParagraph">
    <w:name w:val="List Paragraph"/>
    <w:basedOn w:val="Normal"/>
    <w:uiPriority w:val="34"/>
    <w:qFormat/>
    <w:rsid w:val="00E0246F"/>
    <w:pPr>
      <w:ind w:left="720"/>
      <w:contextualSpacing/>
    </w:pPr>
  </w:style>
  <w:style w:type="character" w:styleId="Hyperlink">
    <w:name w:val="Hyperlink"/>
    <w:basedOn w:val="DefaultParagraphFont"/>
    <w:uiPriority w:val="99"/>
    <w:unhideWhenUsed/>
    <w:rsid w:val="002F7DB8"/>
    <w:rPr>
      <w:color w:val="0000FF" w:themeColor="hyperlink"/>
      <w:u w:val="single"/>
    </w:rPr>
  </w:style>
  <w:style w:type="character" w:styleId="UnresolvedMention">
    <w:name w:val="Unresolved Mention"/>
    <w:basedOn w:val="DefaultParagraphFont"/>
    <w:uiPriority w:val="99"/>
    <w:semiHidden/>
    <w:unhideWhenUsed/>
    <w:rsid w:val="002F7DB8"/>
    <w:rPr>
      <w:color w:val="605E5C"/>
      <w:shd w:val="clear" w:color="auto" w:fill="E1DFDD"/>
    </w:rPr>
  </w:style>
  <w:style w:type="character" w:styleId="LineNumber">
    <w:name w:val="line number"/>
    <w:basedOn w:val="DefaultParagraphFont"/>
    <w:uiPriority w:val="99"/>
    <w:semiHidden/>
    <w:unhideWhenUsed/>
    <w:rsid w:val="00937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Sullivan4@v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1C44-79ED-4409-90A8-182EB392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6143</Words>
  <Characters>35016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Sullivan, Nicole L.</dc:creator>
  <cp:lastModifiedBy>Sullivan, Nicole L.</cp:lastModifiedBy>
  <cp:revision>3</cp:revision>
  <cp:lastPrinted>2019-01-16T16:42:00Z</cp:lastPrinted>
  <dcterms:created xsi:type="dcterms:W3CDTF">2019-10-17T12:47:00Z</dcterms:created>
  <dcterms:modified xsi:type="dcterms:W3CDTF">2020-01-27T21:15:00Z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-1043604939</vt:i4>
  </property>
</Properties>
</file>